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E3A" w:rsidRPr="001B7DBA" w:rsidRDefault="009D0E3A" w:rsidP="00C534A0">
      <w:pPr>
        <w:jc w:val="center"/>
        <w:rPr>
          <w:rFonts w:cs="Times New Roman"/>
          <w:b/>
          <w:szCs w:val="24"/>
        </w:rPr>
      </w:pPr>
    </w:p>
    <w:p w:rsidR="00047FC4" w:rsidRPr="001B7DBA" w:rsidRDefault="00047FC4" w:rsidP="00C534A0">
      <w:pPr>
        <w:jc w:val="center"/>
        <w:rPr>
          <w:rFonts w:cs="Times New Roman"/>
          <w:szCs w:val="24"/>
        </w:rPr>
      </w:pPr>
    </w:p>
    <w:p w:rsidR="001B7DBA" w:rsidRPr="001B7DBA" w:rsidRDefault="001B7DBA" w:rsidP="001B7DBA">
      <w:pPr>
        <w:jc w:val="center"/>
        <w:rPr>
          <w:rFonts w:cs="Times New Roman"/>
          <w:b/>
          <w:bCs/>
          <w:color w:val="365F91" w:themeColor="accent1" w:themeShade="BF"/>
          <w:sz w:val="28"/>
          <w:szCs w:val="28"/>
        </w:rPr>
      </w:pPr>
      <w:r w:rsidRPr="001B7DBA">
        <w:rPr>
          <w:rFonts w:cs="Times New Roman"/>
          <w:b/>
          <w:bCs/>
          <w:color w:val="365F91" w:themeColor="accent1" w:themeShade="BF"/>
          <w:sz w:val="28"/>
          <w:szCs w:val="28"/>
        </w:rPr>
        <w:t>Le Learning Center de l’UHA</w:t>
      </w:r>
    </w:p>
    <w:p w:rsidR="001B7DBA" w:rsidRPr="001B7DBA" w:rsidRDefault="001B7DBA" w:rsidP="001B7DBA">
      <w:pPr>
        <w:jc w:val="center"/>
        <w:rPr>
          <w:rFonts w:cs="Times New Roman"/>
          <w:b/>
          <w:bCs/>
          <w:color w:val="365F91" w:themeColor="accent1" w:themeShade="BF"/>
          <w:sz w:val="28"/>
          <w:szCs w:val="28"/>
        </w:rPr>
      </w:pPr>
      <w:r w:rsidRPr="001B7DBA">
        <w:rPr>
          <w:rFonts w:cs="Times New Roman"/>
          <w:b/>
          <w:bCs/>
          <w:color w:val="365F91" w:themeColor="accent1" w:themeShade="BF"/>
          <w:sz w:val="28"/>
          <w:szCs w:val="28"/>
        </w:rPr>
        <w:t>Un projet pédagogique collaboratif et innovant</w:t>
      </w:r>
    </w:p>
    <w:p w:rsidR="003C3B01" w:rsidRPr="001B7DBA" w:rsidRDefault="003C3B01" w:rsidP="00C534A0">
      <w:pPr>
        <w:jc w:val="both"/>
        <w:rPr>
          <w:rFonts w:cs="Times New Roman"/>
          <w:szCs w:val="24"/>
        </w:rPr>
      </w:pPr>
    </w:p>
    <w:p w:rsidR="00AE608F" w:rsidRDefault="00206345" w:rsidP="00C47A38">
      <w:pPr>
        <w:jc w:val="both"/>
        <w:rPr>
          <w:rFonts w:cs="Times New Roman"/>
          <w:szCs w:val="24"/>
        </w:rPr>
      </w:pPr>
      <w:r>
        <w:rPr>
          <w:rFonts w:cs="Times New Roman"/>
          <w:szCs w:val="24"/>
        </w:rPr>
        <w:t>L’université de Haute-Alsace s’est engagée, par-delà la construction d’un nouveau bâtiment pour la Bibliothèque Universitaire et le Centre de Langues,  dans un projet de Learning Center, conçu comme un lieu d’activité et d’apprentissage, un espace innovant voué au travail personnel et collaboratif.</w:t>
      </w:r>
    </w:p>
    <w:p w:rsidR="00206345" w:rsidRPr="001B7DBA" w:rsidRDefault="00206345" w:rsidP="00C47A38">
      <w:pPr>
        <w:jc w:val="both"/>
        <w:rPr>
          <w:rFonts w:cs="Times New Roman"/>
          <w:szCs w:val="24"/>
        </w:rPr>
      </w:pPr>
    </w:p>
    <w:p w:rsidR="00C47A38" w:rsidRPr="001B7DBA" w:rsidRDefault="00C47A38" w:rsidP="00C47A38">
      <w:pPr>
        <w:jc w:val="both"/>
        <w:rPr>
          <w:rFonts w:cs="Times New Roman"/>
          <w:szCs w:val="24"/>
        </w:rPr>
      </w:pPr>
      <w:r w:rsidRPr="001B7DBA">
        <w:rPr>
          <w:rFonts w:cs="Times New Roman"/>
          <w:szCs w:val="24"/>
        </w:rPr>
        <w:t>L’ouverture d’un Learning Center se trouve notamment motivée par les transformations profondes que conna</w:t>
      </w:r>
      <w:r w:rsidR="00B53727" w:rsidRPr="001B7DBA">
        <w:rPr>
          <w:rFonts w:cs="Times New Roman"/>
          <w:szCs w:val="24"/>
        </w:rPr>
        <w:t>i</w:t>
      </w:r>
      <w:r w:rsidRPr="001B7DBA">
        <w:rPr>
          <w:rFonts w:cs="Times New Roman"/>
          <w:szCs w:val="24"/>
        </w:rPr>
        <w:t>t aujourd’hui l’enseignement supérieur : massification, changement de motivations et d’attentes de la part d’un public de plus en plus hétérogène, développement des ressources numériques… Elle est le signe d’une évolution de la conception de bibliothèque universitaire : ce ne sont plus les ressources qui constituent le cœur de l’offre mais les réponses aux besoins des usagers.</w:t>
      </w:r>
    </w:p>
    <w:p w:rsidR="00DC168D" w:rsidRPr="001B7DBA" w:rsidRDefault="00DC168D" w:rsidP="00C534A0">
      <w:pPr>
        <w:jc w:val="both"/>
        <w:rPr>
          <w:rFonts w:cs="Times New Roman"/>
          <w:szCs w:val="24"/>
        </w:rPr>
      </w:pPr>
    </w:p>
    <w:p w:rsidR="00DC168D" w:rsidRPr="001B7DBA" w:rsidRDefault="009C7D54" w:rsidP="00C534A0">
      <w:pPr>
        <w:jc w:val="both"/>
        <w:rPr>
          <w:rFonts w:cs="Times New Roman"/>
          <w:szCs w:val="24"/>
        </w:rPr>
      </w:pPr>
      <w:r>
        <w:rPr>
          <w:rFonts w:cs="Times New Roman"/>
          <w:szCs w:val="24"/>
        </w:rPr>
        <w:t>L</w:t>
      </w:r>
      <w:r w:rsidR="00DC168D" w:rsidRPr="001B7DBA">
        <w:rPr>
          <w:rFonts w:cs="Times New Roman"/>
          <w:szCs w:val="24"/>
        </w:rPr>
        <w:t>e projet de Learning Center s’intègre à l’une des cinq priorités de l’établissement : « permettre à nos étudiants de réussir, en construisant aujourd’hui leur projet d’études et demain leur projet de carrière ».</w:t>
      </w:r>
      <w:r>
        <w:rPr>
          <w:rFonts w:cs="Times New Roman"/>
          <w:szCs w:val="24"/>
        </w:rPr>
        <w:t xml:space="preserve"> </w:t>
      </w:r>
      <w:r w:rsidR="00DC168D" w:rsidRPr="001B7DBA">
        <w:rPr>
          <w:rFonts w:cs="Times New Roman"/>
          <w:szCs w:val="24"/>
        </w:rPr>
        <w:t>Du point de vue de la formation, l’université s’est donné deux priorités où se reconna</w:t>
      </w:r>
      <w:r w:rsidR="00B53727" w:rsidRPr="001B7DBA">
        <w:rPr>
          <w:rFonts w:cs="Times New Roman"/>
          <w:szCs w:val="24"/>
        </w:rPr>
        <w:t>i</w:t>
      </w:r>
      <w:r w:rsidR="00DC168D" w:rsidRPr="001B7DBA">
        <w:rPr>
          <w:rFonts w:cs="Times New Roman"/>
          <w:szCs w:val="24"/>
        </w:rPr>
        <w:t>t le projet de Learning Center : renforcer la transversalité ; soutenir et développer la pratique des langues vivantes.</w:t>
      </w:r>
      <w:r w:rsidR="00B86F8D" w:rsidRPr="001B7DBA">
        <w:rPr>
          <w:rFonts w:cs="Times New Roman"/>
          <w:szCs w:val="24"/>
        </w:rPr>
        <w:t xml:space="preserve"> Enfin, un tel projet s’intègre au développement de la pédagogie universitaire mené à l’UHA.</w:t>
      </w:r>
    </w:p>
    <w:p w:rsidR="00140932" w:rsidRPr="001B7DBA" w:rsidRDefault="00140932" w:rsidP="00140932">
      <w:pPr>
        <w:pStyle w:val="Titre1"/>
        <w:rPr>
          <w:rFonts w:ascii="Times New Roman" w:hAnsi="Times New Roman" w:cs="Times New Roman"/>
        </w:rPr>
      </w:pPr>
      <w:r w:rsidRPr="001B7DBA">
        <w:rPr>
          <w:rFonts w:ascii="Times New Roman" w:hAnsi="Times New Roman" w:cs="Times New Roman"/>
        </w:rPr>
        <w:t xml:space="preserve">Des espaces modulables </w:t>
      </w:r>
      <w:proofErr w:type="spellStart"/>
      <w:r w:rsidRPr="001B7DBA">
        <w:rPr>
          <w:rFonts w:ascii="Times New Roman" w:hAnsi="Times New Roman" w:cs="Times New Roman"/>
        </w:rPr>
        <w:t>hyperconnectés</w:t>
      </w:r>
      <w:proofErr w:type="spellEnd"/>
    </w:p>
    <w:p w:rsidR="00140932" w:rsidRPr="001B7DBA" w:rsidRDefault="00140932" w:rsidP="00140932">
      <w:pPr>
        <w:jc w:val="both"/>
        <w:rPr>
          <w:rFonts w:cs="Times New Roman"/>
          <w:i/>
          <w:iCs/>
          <w:szCs w:val="24"/>
        </w:rPr>
      </w:pPr>
    </w:p>
    <w:p w:rsidR="00140932" w:rsidRPr="00484BC4" w:rsidRDefault="00140932" w:rsidP="00140932">
      <w:pPr>
        <w:jc w:val="both"/>
        <w:rPr>
          <w:rFonts w:cs="Times New Roman"/>
          <w:szCs w:val="24"/>
        </w:rPr>
      </w:pPr>
      <w:r w:rsidRPr="001B7DBA">
        <w:rPr>
          <w:rFonts w:cs="Times New Roman"/>
          <w:szCs w:val="24"/>
        </w:rPr>
        <w:t xml:space="preserve">Dans un bâtiment </w:t>
      </w:r>
      <w:proofErr w:type="spellStart"/>
      <w:r w:rsidRPr="001B7DBA">
        <w:rPr>
          <w:rFonts w:cs="Times New Roman"/>
          <w:szCs w:val="24"/>
        </w:rPr>
        <w:t>éco-responsable</w:t>
      </w:r>
      <w:proofErr w:type="spellEnd"/>
      <w:r w:rsidRPr="001B7DBA">
        <w:rPr>
          <w:rFonts w:cs="Times New Roman"/>
          <w:szCs w:val="24"/>
        </w:rPr>
        <w:t xml:space="preserve">, au design moderne et reconnaissable, le Learning Center UHA apparait d’abord comme un nouveau lieu de vie </w:t>
      </w:r>
      <w:r w:rsidR="00484BC4">
        <w:rPr>
          <w:rFonts w:cs="Times New Roman"/>
          <w:szCs w:val="24"/>
        </w:rPr>
        <w:t xml:space="preserve">et de travail </w:t>
      </w:r>
      <w:r w:rsidRPr="001B7DBA">
        <w:rPr>
          <w:rFonts w:cs="Times New Roman"/>
          <w:szCs w:val="24"/>
        </w:rPr>
        <w:t xml:space="preserve">sur le campus </w:t>
      </w:r>
      <w:proofErr w:type="spellStart"/>
      <w:r w:rsidRPr="001B7DBA">
        <w:rPr>
          <w:rFonts w:cs="Times New Roman"/>
          <w:szCs w:val="24"/>
        </w:rPr>
        <w:t>Illberg</w:t>
      </w:r>
      <w:proofErr w:type="spellEnd"/>
      <w:r w:rsidRPr="001B7DBA">
        <w:rPr>
          <w:rFonts w:cs="Times New Roman"/>
          <w:szCs w:val="24"/>
        </w:rPr>
        <w:t>. Il proposera, sur 3300m</w:t>
      </w:r>
      <w:r w:rsidRPr="001B7DBA">
        <w:rPr>
          <w:rFonts w:cs="Times New Roman"/>
          <w:szCs w:val="24"/>
          <w:vertAlign w:val="superscript"/>
        </w:rPr>
        <w:t>2</w:t>
      </w:r>
      <w:r w:rsidR="00484BC4">
        <w:rPr>
          <w:rFonts w:cs="Times New Roman"/>
          <w:szCs w:val="24"/>
          <w:vertAlign w:val="superscript"/>
        </w:rPr>
        <w:t> </w:t>
      </w:r>
      <w:r w:rsidR="00484BC4">
        <w:rPr>
          <w:rFonts w:cs="Times New Roman"/>
          <w:szCs w:val="24"/>
        </w:rPr>
        <w:t>:</w:t>
      </w:r>
    </w:p>
    <w:p w:rsidR="00484BC4" w:rsidRPr="001B7DBA" w:rsidRDefault="00484BC4" w:rsidP="00140932">
      <w:pPr>
        <w:jc w:val="both"/>
        <w:rPr>
          <w:rFonts w:cs="Times New Roman"/>
          <w:szCs w:val="24"/>
        </w:rPr>
      </w:pPr>
    </w:p>
    <w:p w:rsidR="00140932" w:rsidRPr="001B7DBA" w:rsidRDefault="00140932" w:rsidP="00140932">
      <w:pPr>
        <w:numPr>
          <w:ilvl w:val="0"/>
          <w:numId w:val="5"/>
        </w:numPr>
        <w:jc w:val="both"/>
        <w:rPr>
          <w:rFonts w:cs="Times New Roman"/>
          <w:bCs/>
          <w:szCs w:val="24"/>
        </w:rPr>
      </w:pPr>
      <w:r w:rsidRPr="001B7DBA">
        <w:rPr>
          <w:rFonts w:cs="Times New Roman"/>
          <w:bCs/>
          <w:szCs w:val="24"/>
        </w:rPr>
        <w:t>des espaces conviviaux ouverts, flexibles, dont une rampe d’accès en spirale</w:t>
      </w:r>
    </w:p>
    <w:p w:rsidR="00140932" w:rsidRPr="001B7DBA" w:rsidRDefault="00140932" w:rsidP="00140932">
      <w:pPr>
        <w:numPr>
          <w:ilvl w:val="0"/>
          <w:numId w:val="5"/>
        </w:numPr>
        <w:jc w:val="both"/>
        <w:rPr>
          <w:rFonts w:cs="Times New Roman"/>
          <w:bCs/>
          <w:szCs w:val="24"/>
        </w:rPr>
      </w:pPr>
      <w:r w:rsidRPr="001B7DBA">
        <w:rPr>
          <w:rFonts w:cs="Times New Roman"/>
          <w:bCs/>
          <w:szCs w:val="24"/>
        </w:rPr>
        <w:t>des ressources multiples et variées, à l’accessibilité maximale y compris à distance</w:t>
      </w:r>
    </w:p>
    <w:p w:rsidR="00140932" w:rsidRPr="001B7DBA" w:rsidRDefault="00140932" w:rsidP="00140932">
      <w:pPr>
        <w:numPr>
          <w:ilvl w:val="0"/>
          <w:numId w:val="5"/>
        </w:numPr>
        <w:jc w:val="both"/>
        <w:rPr>
          <w:rFonts w:cs="Times New Roman"/>
          <w:bCs/>
          <w:szCs w:val="24"/>
        </w:rPr>
      </w:pPr>
      <w:r w:rsidRPr="001B7DBA">
        <w:rPr>
          <w:rFonts w:cs="Times New Roman"/>
          <w:bCs/>
          <w:szCs w:val="24"/>
        </w:rPr>
        <w:t>500 places assises et 23 salles modulables de 4 à 30 places</w:t>
      </w:r>
    </w:p>
    <w:p w:rsidR="00140932" w:rsidRPr="001B7DBA" w:rsidRDefault="00140932" w:rsidP="00140932">
      <w:pPr>
        <w:numPr>
          <w:ilvl w:val="0"/>
          <w:numId w:val="5"/>
        </w:numPr>
        <w:jc w:val="both"/>
        <w:rPr>
          <w:rFonts w:cs="Times New Roman"/>
          <w:bCs/>
          <w:szCs w:val="24"/>
        </w:rPr>
      </w:pPr>
      <w:r w:rsidRPr="001B7DBA">
        <w:rPr>
          <w:rFonts w:cs="Times New Roman"/>
          <w:bCs/>
          <w:szCs w:val="24"/>
        </w:rPr>
        <w:t xml:space="preserve">des équipements multimédias </w:t>
      </w:r>
    </w:p>
    <w:p w:rsidR="00140932" w:rsidRPr="001B7DBA" w:rsidRDefault="00140932" w:rsidP="00140932">
      <w:pPr>
        <w:numPr>
          <w:ilvl w:val="0"/>
          <w:numId w:val="5"/>
        </w:numPr>
        <w:jc w:val="both"/>
        <w:rPr>
          <w:rFonts w:cs="Times New Roman"/>
          <w:szCs w:val="24"/>
        </w:rPr>
      </w:pPr>
      <w:r w:rsidRPr="001B7DBA">
        <w:rPr>
          <w:rFonts w:cs="Times New Roman"/>
          <w:szCs w:val="24"/>
        </w:rPr>
        <w:t>un large espace d’accueil proposant expositions et spectacles</w:t>
      </w:r>
    </w:p>
    <w:p w:rsidR="00140932" w:rsidRPr="001B7DBA" w:rsidRDefault="00140932" w:rsidP="00140932">
      <w:pPr>
        <w:numPr>
          <w:ilvl w:val="0"/>
          <w:numId w:val="5"/>
        </w:numPr>
        <w:jc w:val="both"/>
        <w:rPr>
          <w:rFonts w:cs="Times New Roman"/>
          <w:bCs/>
          <w:szCs w:val="24"/>
        </w:rPr>
      </w:pPr>
      <w:r w:rsidRPr="001B7DBA">
        <w:rPr>
          <w:rFonts w:cs="Times New Roman"/>
          <w:bCs/>
          <w:szCs w:val="24"/>
        </w:rPr>
        <w:t>deux jardins et une cafétéria</w:t>
      </w:r>
    </w:p>
    <w:p w:rsidR="00140932" w:rsidRPr="001B7DBA" w:rsidRDefault="00140932" w:rsidP="00140932">
      <w:pPr>
        <w:ind w:left="720"/>
        <w:jc w:val="both"/>
        <w:rPr>
          <w:rFonts w:cs="Times New Roman"/>
          <w:bCs/>
          <w:szCs w:val="24"/>
        </w:rPr>
      </w:pPr>
    </w:p>
    <w:p w:rsidR="00140932" w:rsidRDefault="00206345" w:rsidP="00140932">
      <w:pPr>
        <w:jc w:val="both"/>
        <w:rPr>
          <w:rFonts w:eastAsia="Calibri" w:cs="Times New Roman"/>
          <w:szCs w:val="24"/>
        </w:rPr>
      </w:pPr>
      <w:r w:rsidRPr="001B7DBA">
        <w:rPr>
          <w:rFonts w:eastAsia="Calibri" w:cs="Times New Roman"/>
          <w:szCs w:val="24"/>
        </w:rPr>
        <w:t>La conception du bâtiment à partir d’un programme élaboré par l’université en fait un espace</w:t>
      </w:r>
      <w:r>
        <w:rPr>
          <w:rFonts w:eastAsia="Calibri" w:cs="Times New Roman"/>
          <w:szCs w:val="24"/>
        </w:rPr>
        <w:t xml:space="preserve"> d’apprentissage souple, modulable, </w:t>
      </w:r>
      <w:r w:rsidR="00484BC4">
        <w:rPr>
          <w:rFonts w:eastAsia="Calibri" w:cs="Times New Roman"/>
          <w:bCs/>
          <w:szCs w:val="24"/>
        </w:rPr>
        <w:t>favorisa</w:t>
      </w:r>
      <w:r w:rsidRPr="001B7DBA">
        <w:rPr>
          <w:rFonts w:eastAsia="Calibri" w:cs="Times New Roman"/>
          <w:bCs/>
          <w:szCs w:val="24"/>
        </w:rPr>
        <w:t>nt les interactions</w:t>
      </w:r>
      <w:r>
        <w:rPr>
          <w:rFonts w:eastAsia="Calibri" w:cs="Times New Roman"/>
          <w:bCs/>
          <w:szCs w:val="24"/>
        </w:rPr>
        <w:t>, les</w:t>
      </w:r>
      <w:r w:rsidRPr="001B7DBA">
        <w:rPr>
          <w:rFonts w:eastAsia="Calibri" w:cs="Times New Roman"/>
          <w:bCs/>
          <w:szCs w:val="24"/>
        </w:rPr>
        <w:t xml:space="preserve"> </w:t>
      </w:r>
      <w:r w:rsidRPr="001B7DBA">
        <w:rPr>
          <w:rFonts w:eastAsia="Calibri" w:cs="Times New Roman"/>
          <w:szCs w:val="24"/>
        </w:rPr>
        <w:t xml:space="preserve">rencontres et </w:t>
      </w:r>
      <w:r>
        <w:rPr>
          <w:rFonts w:eastAsia="Calibri" w:cs="Times New Roman"/>
          <w:szCs w:val="24"/>
        </w:rPr>
        <w:t xml:space="preserve">les </w:t>
      </w:r>
      <w:r w:rsidRPr="001B7DBA">
        <w:rPr>
          <w:rFonts w:eastAsia="Calibri" w:cs="Times New Roman"/>
          <w:szCs w:val="24"/>
        </w:rPr>
        <w:t>échanges</w:t>
      </w:r>
      <w:r w:rsidRPr="001B7DBA">
        <w:rPr>
          <w:rFonts w:eastAsia="Calibri" w:cs="Times New Roman"/>
          <w:bCs/>
          <w:szCs w:val="24"/>
        </w:rPr>
        <w:t xml:space="preserve"> et permett</w:t>
      </w:r>
      <w:r w:rsidR="00484BC4">
        <w:rPr>
          <w:rFonts w:eastAsia="Calibri" w:cs="Times New Roman"/>
          <w:bCs/>
          <w:szCs w:val="24"/>
        </w:rPr>
        <w:t>a</w:t>
      </w:r>
      <w:r w:rsidRPr="001B7DBA">
        <w:rPr>
          <w:rFonts w:eastAsia="Calibri" w:cs="Times New Roman"/>
          <w:bCs/>
          <w:szCs w:val="24"/>
        </w:rPr>
        <w:t>nt un double ancrage, individuel et collectif.</w:t>
      </w:r>
    </w:p>
    <w:p w:rsidR="00D76BCD" w:rsidRPr="001B7DBA" w:rsidRDefault="00140932" w:rsidP="00D76BCD">
      <w:pPr>
        <w:pStyle w:val="Titre1"/>
        <w:rPr>
          <w:rFonts w:ascii="Times New Roman" w:hAnsi="Times New Roman" w:cs="Times New Roman"/>
        </w:rPr>
      </w:pPr>
      <w:r>
        <w:rPr>
          <w:rFonts w:ascii="Times New Roman" w:hAnsi="Times New Roman" w:cs="Times New Roman"/>
        </w:rPr>
        <w:t>Contexte</w:t>
      </w:r>
    </w:p>
    <w:p w:rsidR="00497BCE" w:rsidRPr="001B7DBA" w:rsidRDefault="00497BCE" w:rsidP="00497BCE">
      <w:pPr>
        <w:jc w:val="both"/>
        <w:rPr>
          <w:rFonts w:cs="Times New Roman"/>
        </w:rPr>
      </w:pPr>
    </w:p>
    <w:p w:rsidR="00497BCE" w:rsidRPr="001B7DBA" w:rsidRDefault="00497BCE" w:rsidP="00497BCE">
      <w:pPr>
        <w:jc w:val="both"/>
        <w:rPr>
          <w:rFonts w:cs="Times New Roman"/>
        </w:rPr>
      </w:pPr>
      <w:r w:rsidRPr="001B7DBA">
        <w:rPr>
          <w:rFonts w:cs="Times New Roman"/>
        </w:rPr>
        <w:t xml:space="preserve">Inspiré du modèle de </w:t>
      </w:r>
      <w:r w:rsidRPr="001B7DBA">
        <w:rPr>
          <w:rFonts w:cs="Times New Roman"/>
          <w:i/>
        </w:rPr>
        <w:t>Learning Commons</w:t>
      </w:r>
      <w:r w:rsidRPr="001B7DBA">
        <w:rPr>
          <w:rFonts w:cs="Times New Roman"/>
        </w:rPr>
        <w:t xml:space="preserve"> ou </w:t>
      </w:r>
      <w:r w:rsidRPr="001B7DBA">
        <w:rPr>
          <w:rFonts w:cs="Times New Roman"/>
          <w:i/>
        </w:rPr>
        <w:t>Information Commons</w:t>
      </w:r>
      <w:r w:rsidRPr="001B7DBA">
        <w:rPr>
          <w:rFonts w:cs="Times New Roman"/>
        </w:rPr>
        <w:t xml:space="preserve"> mis en place dans les universités américaines au début des années 1990, le concept de </w:t>
      </w:r>
      <w:r w:rsidRPr="001B7DBA">
        <w:rPr>
          <w:rFonts w:cs="Times New Roman"/>
          <w:i/>
        </w:rPr>
        <w:t>Learning Centre</w:t>
      </w:r>
      <w:r w:rsidRPr="001B7DBA">
        <w:rPr>
          <w:rFonts w:cs="Times New Roman"/>
        </w:rPr>
        <w:t xml:space="preserve"> (littéralement « centre d’apprentissage ») s’est développé au Royaume-Uni dans la même décennie. Graham </w:t>
      </w:r>
      <w:proofErr w:type="spellStart"/>
      <w:r w:rsidRPr="001B7DBA">
        <w:rPr>
          <w:rFonts w:cs="Times New Roman"/>
        </w:rPr>
        <w:t>Bullpitt</w:t>
      </w:r>
      <w:proofErr w:type="spellEnd"/>
      <w:r w:rsidRPr="001B7DBA">
        <w:rPr>
          <w:rFonts w:cs="Times New Roman"/>
        </w:rPr>
        <w:t xml:space="preserve"> a initié le mouvement à Sheffield </w:t>
      </w:r>
      <w:proofErr w:type="spellStart"/>
      <w:r w:rsidRPr="001B7DBA">
        <w:rPr>
          <w:rFonts w:cs="Times New Roman"/>
        </w:rPr>
        <w:t>Hallam</w:t>
      </w:r>
      <w:proofErr w:type="spellEnd"/>
      <w:r w:rsidRPr="001B7DBA">
        <w:rPr>
          <w:rFonts w:cs="Times New Roman"/>
        </w:rPr>
        <w:t xml:space="preserve"> </w:t>
      </w:r>
      <w:proofErr w:type="spellStart"/>
      <w:r w:rsidRPr="001B7DBA">
        <w:rPr>
          <w:rFonts w:cs="Times New Roman"/>
        </w:rPr>
        <w:t>University</w:t>
      </w:r>
      <w:proofErr w:type="spellEnd"/>
      <w:r w:rsidRPr="001B7DBA">
        <w:rPr>
          <w:rFonts w:cs="Times New Roman"/>
        </w:rPr>
        <w:t xml:space="preserve">, puis au Kingston </w:t>
      </w:r>
      <w:proofErr w:type="spellStart"/>
      <w:r w:rsidRPr="001B7DBA">
        <w:rPr>
          <w:rFonts w:cs="Times New Roman"/>
        </w:rPr>
        <w:t>College</w:t>
      </w:r>
      <w:proofErr w:type="spellEnd"/>
      <w:r w:rsidRPr="001B7DBA">
        <w:rPr>
          <w:rFonts w:cs="Times New Roman"/>
        </w:rPr>
        <w:t xml:space="preserve"> de Londres où il est aujourd’hui directeur des systèmes d’information. </w:t>
      </w:r>
    </w:p>
    <w:p w:rsidR="00497BCE" w:rsidRPr="001B7DBA" w:rsidRDefault="00497BCE" w:rsidP="00497BCE">
      <w:pPr>
        <w:jc w:val="both"/>
        <w:rPr>
          <w:rFonts w:cs="Times New Roman"/>
        </w:rPr>
      </w:pPr>
      <w:r w:rsidRPr="001B7DBA">
        <w:rPr>
          <w:rFonts w:cs="Times New Roman"/>
        </w:rPr>
        <w:t>Selon l</w:t>
      </w:r>
      <w:r w:rsidR="00DA1DA9">
        <w:rPr>
          <w:rFonts w:cs="Times New Roman"/>
        </w:rPr>
        <w:t>ui, l</w:t>
      </w:r>
      <w:r w:rsidRPr="001B7DBA">
        <w:rPr>
          <w:rFonts w:cs="Times New Roman"/>
        </w:rPr>
        <w:t xml:space="preserve">e Learning Center se définit par le </w:t>
      </w:r>
      <w:proofErr w:type="spellStart"/>
      <w:r w:rsidRPr="001B7DBA">
        <w:rPr>
          <w:rFonts w:cs="Times New Roman"/>
        </w:rPr>
        <w:t>tryptique</w:t>
      </w:r>
      <w:proofErr w:type="spellEnd"/>
      <w:r w:rsidRPr="001B7DBA">
        <w:rPr>
          <w:rFonts w:cs="Times New Roman"/>
        </w:rPr>
        <w:t> suivant:</w:t>
      </w:r>
    </w:p>
    <w:p w:rsidR="00497BCE" w:rsidRPr="001B7DBA" w:rsidRDefault="00497BCE" w:rsidP="00497BCE">
      <w:pPr>
        <w:jc w:val="both"/>
        <w:rPr>
          <w:rFonts w:cs="Times New Roman"/>
        </w:rPr>
      </w:pPr>
      <w:r w:rsidRPr="001B7DBA">
        <w:rPr>
          <w:rFonts w:cs="Times New Roman"/>
          <w:noProof/>
          <w:lang w:eastAsia="fr-FR"/>
        </w:rPr>
        <w:lastRenderedPageBreak/>
        <w:drawing>
          <wp:inline distT="0" distB="0" distL="0" distR="0" wp14:anchorId="76B26088" wp14:editId="342E2E5A">
            <wp:extent cx="4543425" cy="2552700"/>
            <wp:effectExtent l="0" t="0" r="0" b="38100"/>
            <wp:docPr id="7" name="Diagramme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97BCE" w:rsidRPr="001B7DBA" w:rsidRDefault="00497BCE" w:rsidP="00497BCE">
      <w:pPr>
        <w:jc w:val="both"/>
        <w:rPr>
          <w:rFonts w:cs="Times New Roman"/>
        </w:rPr>
      </w:pPr>
    </w:p>
    <w:p w:rsidR="00497BCE" w:rsidRPr="001B7DBA" w:rsidRDefault="00497BCE" w:rsidP="00497BCE">
      <w:pPr>
        <w:jc w:val="both"/>
        <w:rPr>
          <w:rFonts w:cs="Times New Roman"/>
        </w:rPr>
      </w:pPr>
    </w:p>
    <w:p w:rsidR="00497BCE" w:rsidRPr="001B7DBA" w:rsidRDefault="00497BCE" w:rsidP="00497BCE">
      <w:pPr>
        <w:spacing w:after="0"/>
        <w:jc w:val="both"/>
        <w:rPr>
          <w:rFonts w:cs="Times New Roman"/>
        </w:rPr>
      </w:pPr>
    </w:p>
    <w:p w:rsidR="00497BCE" w:rsidRPr="001B7DBA" w:rsidRDefault="00497BCE" w:rsidP="00497BCE">
      <w:pPr>
        <w:spacing w:after="0"/>
        <w:jc w:val="both"/>
        <w:rPr>
          <w:rFonts w:cs="Times New Roman"/>
        </w:rPr>
      </w:pPr>
      <w:r w:rsidRPr="001B7DBA">
        <w:rPr>
          <w:rFonts w:cs="Times New Roman"/>
        </w:rPr>
        <w:t xml:space="preserve">En 2009, un rapport de l’Inspection Générale des Bibliothèques, rédigé par Suzanne </w:t>
      </w:r>
      <w:proofErr w:type="spellStart"/>
      <w:r w:rsidRPr="001B7DBA">
        <w:rPr>
          <w:rFonts w:cs="Times New Roman"/>
        </w:rPr>
        <w:t>Jouguelet</w:t>
      </w:r>
      <w:proofErr w:type="spellEnd"/>
      <w:r w:rsidRPr="001B7DBA">
        <w:rPr>
          <w:rFonts w:cs="Times New Roman"/>
        </w:rPr>
        <w:t>, pose les bases d’une transposition du modèl</w:t>
      </w:r>
      <w:r w:rsidR="00DA1DA9">
        <w:rPr>
          <w:rFonts w:cs="Times New Roman"/>
        </w:rPr>
        <w:t>e à la France. Le Learning Cent</w:t>
      </w:r>
      <w:r w:rsidRPr="001B7DBA">
        <w:rPr>
          <w:rFonts w:cs="Times New Roman"/>
        </w:rPr>
        <w:t>e</w:t>
      </w:r>
      <w:r w:rsidR="00DA1DA9">
        <w:rPr>
          <w:rFonts w:cs="Times New Roman"/>
        </w:rPr>
        <w:t>r</w:t>
      </w:r>
      <w:r w:rsidRPr="001B7DBA">
        <w:rPr>
          <w:rFonts w:cs="Times New Roman"/>
        </w:rPr>
        <w:t xml:space="preserve"> « à la française » se définit par :</w:t>
      </w:r>
    </w:p>
    <w:p w:rsidR="00497BCE" w:rsidRPr="001B7DBA" w:rsidRDefault="00497BCE" w:rsidP="00497BCE">
      <w:pPr>
        <w:pStyle w:val="Paragraphedeliste"/>
        <w:numPr>
          <w:ilvl w:val="0"/>
          <w:numId w:val="23"/>
        </w:numPr>
        <w:spacing w:after="0"/>
        <w:jc w:val="both"/>
        <w:rPr>
          <w:rFonts w:eastAsia="Times New Roman" w:cs="Times New Roman"/>
          <w:lang w:eastAsia="fr-FR"/>
        </w:rPr>
      </w:pPr>
      <w:r w:rsidRPr="001B7DBA">
        <w:rPr>
          <w:rFonts w:cs="Times New Roman"/>
        </w:rPr>
        <w:t>Un soutien fort à l’apprentissage avec une vision commune de l’enseignement et de la documentation</w:t>
      </w:r>
    </w:p>
    <w:p w:rsidR="00497BCE" w:rsidRPr="001B7DBA" w:rsidRDefault="00497BCE" w:rsidP="00497BCE">
      <w:pPr>
        <w:pStyle w:val="Paragraphedeliste"/>
        <w:numPr>
          <w:ilvl w:val="0"/>
          <w:numId w:val="23"/>
        </w:numPr>
        <w:spacing w:after="0"/>
        <w:jc w:val="both"/>
        <w:rPr>
          <w:rFonts w:eastAsia="Times New Roman" w:cs="Times New Roman"/>
          <w:lang w:eastAsia="fr-FR"/>
        </w:rPr>
      </w:pPr>
      <w:r w:rsidRPr="001B7DBA">
        <w:rPr>
          <w:rFonts w:cs="Times New Roman"/>
        </w:rPr>
        <w:t>Des  espaces conviviaux et flexibles</w:t>
      </w:r>
    </w:p>
    <w:p w:rsidR="00497BCE" w:rsidRPr="001B7DBA" w:rsidRDefault="00497BCE" w:rsidP="00497BCE">
      <w:pPr>
        <w:pStyle w:val="Paragraphedeliste"/>
        <w:numPr>
          <w:ilvl w:val="0"/>
          <w:numId w:val="23"/>
        </w:numPr>
        <w:spacing w:after="0"/>
        <w:jc w:val="both"/>
        <w:rPr>
          <w:rFonts w:eastAsia="Times New Roman" w:cs="Times New Roman"/>
          <w:lang w:eastAsia="fr-FR"/>
        </w:rPr>
      </w:pPr>
      <w:r w:rsidRPr="001B7DBA">
        <w:rPr>
          <w:rFonts w:cs="Times New Roman"/>
        </w:rPr>
        <w:t>Des services et ressources diversifiées et largement accessibles (y compris à distance)</w:t>
      </w:r>
    </w:p>
    <w:p w:rsidR="00497BCE" w:rsidRPr="001B7DBA" w:rsidRDefault="00497BCE" w:rsidP="00497BCE">
      <w:pPr>
        <w:pStyle w:val="Paragraphedeliste"/>
        <w:numPr>
          <w:ilvl w:val="0"/>
          <w:numId w:val="23"/>
        </w:numPr>
        <w:spacing w:after="0"/>
        <w:jc w:val="both"/>
        <w:rPr>
          <w:rFonts w:eastAsia="Times New Roman" w:cs="Times New Roman"/>
          <w:lang w:eastAsia="fr-FR"/>
        </w:rPr>
      </w:pPr>
      <w:r w:rsidRPr="001B7DBA">
        <w:rPr>
          <w:rFonts w:cs="Times New Roman"/>
        </w:rPr>
        <w:t>Un personnel aux compétences multiples, avec un effacement des frontières entre professionnels.</w:t>
      </w:r>
    </w:p>
    <w:p w:rsidR="00EC649D" w:rsidRPr="001B7DBA" w:rsidRDefault="00EC649D" w:rsidP="00EC649D">
      <w:pPr>
        <w:pStyle w:val="Paragraphedeliste"/>
        <w:spacing w:after="0"/>
        <w:jc w:val="both"/>
        <w:rPr>
          <w:rFonts w:eastAsia="Times New Roman" w:cs="Times New Roman"/>
          <w:lang w:eastAsia="fr-FR"/>
        </w:rPr>
      </w:pPr>
    </w:p>
    <w:p w:rsidR="00497BCE" w:rsidRPr="001B7DBA" w:rsidRDefault="00E86020" w:rsidP="00497BCE">
      <w:pPr>
        <w:spacing w:after="0"/>
        <w:jc w:val="both"/>
        <w:rPr>
          <w:rFonts w:eastAsia="Times New Roman" w:cs="Times New Roman"/>
          <w:lang w:eastAsia="fr-FR"/>
        </w:rPr>
      </w:pPr>
      <w:r w:rsidRPr="001B7DBA">
        <w:rPr>
          <w:rFonts w:eastAsia="Times New Roman" w:cs="Times New Roman"/>
          <w:lang w:eastAsia="fr-FR"/>
        </w:rPr>
        <w:t xml:space="preserve">Toutefois, </w:t>
      </w:r>
      <w:r w:rsidR="00497BCE" w:rsidRPr="001B7DBA">
        <w:rPr>
          <w:rFonts w:eastAsia="Times New Roman" w:cs="Times New Roman"/>
          <w:lang w:eastAsia="fr-FR"/>
        </w:rPr>
        <w:t>« </w:t>
      </w:r>
      <w:r w:rsidR="00EC649D" w:rsidRPr="001B7DBA">
        <w:rPr>
          <w:rFonts w:eastAsia="Times New Roman" w:cs="Times New Roman"/>
          <w:lang w:eastAsia="fr-FR"/>
        </w:rPr>
        <w:t>s</w:t>
      </w:r>
      <w:r w:rsidR="00497BCE" w:rsidRPr="001B7DBA">
        <w:rPr>
          <w:rFonts w:eastAsia="Times New Roman" w:cs="Times New Roman"/>
          <w:lang w:eastAsia="fr-FR"/>
        </w:rPr>
        <w:t>i l’adoption de tout ou partie de ces critères est une condition de création d’un Learning Centre, le facteur le plus déterminant est l’adéquation aux besoins du public de l’université</w:t>
      </w:r>
      <w:r w:rsidR="00EC649D" w:rsidRPr="001B7DBA">
        <w:rPr>
          <w:rStyle w:val="Appelnotedebasdep"/>
          <w:rFonts w:eastAsia="Times New Roman" w:cs="Times New Roman"/>
          <w:lang w:eastAsia="fr-FR"/>
        </w:rPr>
        <w:footnoteReference w:id="1"/>
      </w:r>
      <w:r w:rsidR="00497BCE" w:rsidRPr="001B7DBA">
        <w:rPr>
          <w:rFonts w:eastAsia="Times New Roman" w:cs="Times New Roman"/>
          <w:lang w:eastAsia="fr-FR"/>
        </w:rPr>
        <w:t> ».</w:t>
      </w:r>
    </w:p>
    <w:p w:rsidR="00E86020" w:rsidRPr="001B7DBA" w:rsidRDefault="00E86020" w:rsidP="00497BCE">
      <w:pPr>
        <w:jc w:val="both"/>
        <w:rPr>
          <w:rFonts w:cs="Times New Roman"/>
        </w:rPr>
      </w:pPr>
    </w:p>
    <w:p w:rsidR="00EC649D" w:rsidRPr="001B7DBA" w:rsidRDefault="00497BCE" w:rsidP="00E86020">
      <w:pPr>
        <w:jc w:val="both"/>
        <w:rPr>
          <w:rFonts w:cs="Times New Roman"/>
          <w:color w:val="000000" w:themeColor="text1"/>
        </w:rPr>
      </w:pPr>
      <w:r w:rsidRPr="001B7DBA">
        <w:rPr>
          <w:rFonts w:cs="Times New Roman"/>
          <w:color w:val="000000" w:themeColor="text1"/>
        </w:rPr>
        <w:t xml:space="preserve">En 2011, le rapport commandité conjointement par la CPU et la Caisse des Dépôts apporte une aide opérationnelle aux universités et établissements qui ont des projets de Learning Centres. Ils apparaissent désormais comme des équipements à </w:t>
      </w:r>
      <w:r w:rsidRPr="001B7DBA">
        <w:rPr>
          <w:rFonts w:cs="Times New Roman"/>
          <w:i/>
          <w:color w:val="000000" w:themeColor="text1"/>
        </w:rPr>
        <w:t>« </w:t>
      </w:r>
      <w:r w:rsidRPr="001B7DBA">
        <w:rPr>
          <w:rFonts w:cs="Times New Roman"/>
          <w:color w:val="000000" w:themeColor="text1"/>
        </w:rPr>
        <w:t>missions multiples, plus ouverts sur la vie du campus, intégrant les nouvelles formes d’apprentissage et davantage tourné vers les besoins des étudiants</w:t>
      </w:r>
      <w:r w:rsidR="00EC649D" w:rsidRPr="001B7DBA">
        <w:rPr>
          <w:rStyle w:val="Appelnotedebasdep"/>
          <w:rFonts w:cs="Times New Roman"/>
          <w:color w:val="000000" w:themeColor="text1"/>
        </w:rPr>
        <w:footnoteReference w:id="2"/>
      </w:r>
      <w:r w:rsidRPr="001B7DBA">
        <w:rPr>
          <w:rFonts w:cs="Times New Roman"/>
          <w:color w:val="000000" w:themeColor="text1"/>
        </w:rPr>
        <w:t> ».</w:t>
      </w:r>
    </w:p>
    <w:p w:rsidR="00497BCE" w:rsidRPr="001B7DBA" w:rsidRDefault="00497BCE" w:rsidP="006821E4">
      <w:pPr>
        <w:jc w:val="both"/>
        <w:rPr>
          <w:rFonts w:cs="Times New Roman"/>
          <w:color w:val="000000" w:themeColor="text1"/>
        </w:rPr>
      </w:pPr>
    </w:p>
    <w:p w:rsidR="003F2FB9" w:rsidRPr="001B7DBA" w:rsidRDefault="003F2FB9" w:rsidP="0078466B">
      <w:pPr>
        <w:jc w:val="both"/>
        <w:rPr>
          <w:rFonts w:cs="Times New Roman"/>
        </w:rPr>
      </w:pPr>
      <w:r w:rsidRPr="001B7DBA">
        <w:rPr>
          <w:rFonts w:cs="Times New Roman"/>
        </w:rPr>
        <w:t>Au-delà de ces initiatives, le Learning Cente</w:t>
      </w:r>
      <w:r w:rsidR="00DA1DA9">
        <w:rPr>
          <w:rFonts w:cs="Times New Roman"/>
        </w:rPr>
        <w:t>r</w:t>
      </w:r>
      <w:r w:rsidRPr="001B7DBA">
        <w:rPr>
          <w:rFonts w:cs="Times New Roman"/>
        </w:rPr>
        <w:t xml:space="preserve"> constitue une réponse </w:t>
      </w:r>
      <w:r w:rsidR="00096E6B" w:rsidRPr="001B7DBA">
        <w:rPr>
          <w:rFonts w:cs="Times New Roman"/>
        </w:rPr>
        <w:t xml:space="preserve">particulièrement adaptée </w:t>
      </w:r>
      <w:r w:rsidRPr="001B7DBA">
        <w:rPr>
          <w:rFonts w:cs="Times New Roman"/>
        </w:rPr>
        <w:t xml:space="preserve">aux objectifs de la transformation pédagogique et qui insiste notamment sur le passage d’une logique d’enseignement à une logique d’apprentissage. </w:t>
      </w:r>
    </w:p>
    <w:p w:rsidR="001B7DBA" w:rsidRDefault="001B7DBA" w:rsidP="001F632E">
      <w:pPr>
        <w:jc w:val="both"/>
        <w:rPr>
          <w:rFonts w:cs="Times New Roman"/>
          <w:bCs/>
          <w:color w:val="FF0000"/>
          <w:szCs w:val="24"/>
        </w:rPr>
      </w:pPr>
    </w:p>
    <w:p w:rsidR="00484BC4" w:rsidRDefault="00484BC4" w:rsidP="001F632E">
      <w:pPr>
        <w:jc w:val="both"/>
        <w:rPr>
          <w:rFonts w:cs="Times New Roman"/>
          <w:bCs/>
          <w:color w:val="FF0000"/>
          <w:szCs w:val="24"/>
        </w:rPr>
      </w:pPr>
    </w:p>
    <w:p w:rsidR="00484BC4" w:rsidRDefault="00484BC4" w:rsidP="00484BC4">
      <w:pPr>
        <w:pStyle w:val="Titre1"/>
        <w:rPr>
          <w:rFonts w:ascii="Times New Roman" w:hAnsi="Times New Roman" w:cs="Times New Roman"/>
        </w:rPr>
      </w:pPr>
      <w:r w:rsidRPr="001B7DBA">
        <w:rPr>
          <w:rFonts w:ascii="Times New Roman" w:hAnsi="Times New Roman" w:cs="Times New Roman"/>
        </w:rPr>
        <w:lastRenderedPageBreak/>
        <w:t>Une plateforme de services et de ressources</w:t>
      </w:r>
    </w:p>
    <w:p w:rsidR="00484BC4" w:rsidRPr="001B7DBA" w:rsidRDefault="00484BC4" w:rsidP="00484BC4"/>
    <w:p w:rsidR="00484BC4" w:rsidRPr="001B7DBA" w:rsidRDefault="00484BC4" w:rsidP="00484BC4">
      <w:pPr>
        <w:jc w:val="both"/>
        <w:rPr>
          <w:rFonts w:cs="Times New Roman"/>
          <w:szCs w:val="24"/>
        </w:rPr>
      </w:pPr>
      <w:r w:rsidRPr="00484BC4">
        <w:rPr>
          <w:rFonts w:eastAsia="Calibri" w:cs="Times New Roman"/>
          <w:szCs w:val="24"/>
        </w:rPr>
        <w:t>Le Learning Center</w:t>
      </w:r>
      <w:r w:rsidRPr="00484BC4">
        <w:rPr>
          <w:rFonts w:eastAsia="Calibri" w:cs="Times New Roman"/>
          <w:bCs/>
          <w:szCs w:val="24"/>
        </w:rPr>
        <w:t xml:space="preserve"> s’étend à tous les campus, fonctionne à travers des projets avant même d’entrer dans ses murs.</w:t>
      </w:r>
      <w:r>
        <w:rPr>
          <w:rFonts w:eastAsia="Calibri" w:cs="Times New Roman"/>
          <w:bCs/>
          <w:szCs w:val="24"/>
        </w:rPr>
        <w:t xml:space="preserve"> Il</w:t>
      </w:r>
      <w:r w:rsidRPr="001B7DBA">
        <w:rPr>
          <w:rFonts w:eastAsia="Calibri" w:cs="Times New Roman"/>
          <w:szCs w:val="24"/>
        </w:rPr>
        <w:t xml:space="preserve"> </w:t>
      </w:r>
      <w:r w:rsidRPr="001B7DBA">
        <w:rPr>
          <w:rFonts w:cs="Times New Roman"/>
          <w:szCs w:val="24"/>
        </w:rPr>
        <w:t xml:space="preserve">fonctionne comme une plateforme d’activités structurée à partir des besoins et des usages étudiants. Il </w:t>
      </w:r>
      <w:r w:rsidRPr="001B7DBA">
        <w:rPr>
          <w:rFonts w:eastAsia="Calibri" w:cs="Times New Roman"/>
          <w:szCs w:val="24"/>
        </w:rPr>
        <w:t xml:space="preserve">assume la mission d’initier, déployer et coordonner des modules et des parcours d’activités permettant l’acquisition de compétences </w:t>
      </w:r>
      <w:r>
        <w:rPr>
          <w:rFonts w:eastAsia="Calibri" w:cs="Times New Roman"/>
          <w:szCs w:val="24"/>
        </w:rPr>
        <w:t xml:space="preserve">transversales </w:t>
      </w:r>
      <w:r w:rsidRPr="001B7DBA">
        <w:rPr>
          <w:rFonts w:eastAsia="Calibri" w:cs="Times New Roman"/>
          <w:szCs w:val="24"/>
        </w:rPr>
        <w:t xml:space="preserve">en matière de documentation, d’usages numériques, de </w:t>
      </w:r>
      <w:r>
        <w:rPr>
          <w:rFonts w:eastAsia="Calibri" w:cs="Times New Roman"/>
          <w:szCs w:val="24"/>
        </w:rPr>
        <w:t>communication en langue étrangère,</w:t>
      </w:r>
      <w:r w:rsidRPr="001B7DBA">
        <w:rPr>
          <w:rFonts w:eastAsia="Calibri" w:cs="Times New Roman"/>
          <w:szCs w:val="24"/>
        </w:rPr>
        <w:t xml:space="preserve"> de </w:t>
      </w:r>
      <w:proofErr w:type="spellStart"/>
      <w:r>
        <w:rPr>
          <w:rFonts w:eastAsia="Calibri" w:cs="Times New Roman"/>
          <w:szCs w:val="24"/>
        </w:rPr>
        <w:t>littéracies</w:t>
      </w:r>
      <w:proofErr w:type="spellEnd"/>
      <w:r>
        <w:rPr>
          <w:rFonts w:eastAsia="Calibri" w:cs="Times New Roman"/>
          <w:szCs w:val="24"/>
        </w:rPr>
        <w:t xml:space="preserve"> et de </w:t>
      </w:r>
      <w:r w:rsidRPr="001B7DBA">
        <w:rPr>
          <w:rFonts w:eastAsia="Calibri" w:cs="Times New Roman"/>
          <w:szCs w:val="24"/>
        </w:rPr>
        <w:t>pédagogie universitaire</w:t>
      </w:r>
      <w:r>
        <w:rPr>
          <w:rFonts w:eastAsia="Calibri" w:cs="Times New Roman"/>
          <w:szCs w:val="24"/>
        </w:rPr>
        <w:t>s</w:t>
      </w:r>
      <w:r w:rsidRPr="001B7DBA">
        <w:rPr>
          <w:rFonts w:eastAsia="Calibri" w:cs="Times New Roman"/>
          <w:szCs w:val="24"/>
        </w:rPr>
        <w:t>.</w:t>
      </w:r>
    </w:p>
    <w:p w:rsidR="00484BC4" w:rsidRPr="001B7DBA" w:rsidRDefault="00484BC4" w:rsidP="00484BC4">
      <w:pPr>
        <w:jc w:val="both"/>
        <w:rPr>
          <w:rFonts w:cs="Times New Roman"/>
          <w:szCs w:val="24"/>
        </w:rPr>
      </w:pPr>
      <w:r>
        <w:rPr>
          <w:rFonts w:cs="Times New Roman"/>
          <w:bCs/>
          <w:szCs w:val="24"/>
        </w:rPr>
        <w:t xml:space="preserve">Le Learning Center propose </w:t>
      </w:r>
      <w:r w:rsidRPr="001B7DBA">
        <w:rPr>
          <w:rFonts w:cs="Times New Roman"/>
          <w:szCs w:val="24"/>
        </w:rPr>
        <w:t>une offre de services augmentée</w:t>
      </w:r>
      <w:r w:rsidRPr="001B7DBA">
        <w:rPr>
          <w:rFonts w:cs="Times New Roman"/>
          <w:bCs/>
          <w:szCs w:val="24"/>
        </w:rPr>
        <w:t xml:space="preserve"> qui résulte du rapprochement, dans un dispositif intégré fonctionnant sur le mode projet, de services existant déjà à l’UHA : la Bibliothèque Universitaire de l’</w:t>
      </w:r>
      <w:proofErr w:type="spellStart"/>
      <w:r w:rsidRPr="001B7DBA">
        <w:rPr>
          <w:rFonts w:cs="Times New Roman"/>
          <w:bCs/>
          <w:szCs w:val="24"/>
        </w:rPr>
        <w:t>Illberg</w:t>
      </w:r>
      <w:proofErr w:type="spellEnd"/>
      <w:r w:rsidRPr="001B7DBA">
        <w:rPr>
          <w:rFonts w:cs="Times New Roman"/>
          <w:bCs/>
          <w:szCs w:val="24"/>
        </w:rPr>
        <w:t>, le CLAM, le Service Universitaire de Pédagogie et le pôle Usages Numériques de la Direction du Numérique (</w:t>
      </w:r>
      <w:proofErr w:type="spellStart"/>
      <w:r w:rsidRPr="001B7DBA">
        <w:rPr>
          <w:rFonts w:cs="Times New Roman"/>
          <w:bCs/>
          <w:szCs w:val="24"/>
        </w:rPr>
        <w:t>DNum</w:t>
      </w:r>
      <w:proofErr w:type="spellEnd"/>
      <w:r w:rsidRPr="001B7DBA">
        <w:rPr>
          <w:rFonts w:cs="Times New Roman"/>
          <w:bCs/>
          <w:szCs w:val="24"/>
        </w:rPr>
        <w:t>). De même, certains</w:t>
      </w:r>
      <w:r w:rsidRPr="001B7DBA">
        <w:rPr>
          <w:rFonts w:eastAsia="Calibri" w:cs="Times New Roman"/>
          <w:szCs w:val="24"/>
        </w:rPr>
        <w:t xml:space="preserve"> dispositifs de soutien existants sont intégrés au projet </w:t>
      </w:r>
      <w:r w:rsidRPr="001B7DBA">
        <w:rPr>
          <w:rFonts w:cs="Times New Roman"/>
          <w:szCs w:val="24"/>
        </w:rPr>
        <w:t>et proposés sous la forme d’ateliers.</w:t>
      </w:r>
    </w:p>
    <w:p w:rsidR="00484BC4" w:rsidRPr="001B7DBA" w:rsidRDefault="00484BC4" w:rsidP="00484BC4">
      <w:pPr>
        <w:jc w:val="both"/>
        <w:rPr>
          <w:rFonts w:cs="Times New Roman"/>
          <w:bCs/>
          <w:szCs w:val="24"/>
        </w:rPr>
      </w:pPr>
    </w:p>
    <w:p w:rsidR="00484BC4" w:rsidRPr="001B7DBA" w:rsidRDefault="00484BC4" w:rsidP="00484BC4">
      <w:pPr>
        <w:jc w:val="both"/>
        <w:rPr>
          <w:rFonts w:cs="Times New Roman"/>
          <w:szCs w:val="24"/>
        </w:rPr>
      </w:pPr>
      <w:r w:rsidRPr="001B7DBA">
        <w:rPr>
          <w:rFonts w:cs="Times New Roman"/>
          <w:szCs w:val="24"/>
        </w:rPr>
        <w:t>Dispositifs et services déjà existants qui seront mis en cohérence dans le Learning Center</w:t>
      </w:r>
      <w:r>
        <w:rPr>
          <w:rFonts w:cs="Times New Roman"/>
          <w:szCs w:val="24"/>
        </w:rPr>
        <w:t> :</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accès à la documentation (consultation, emprunt, renseignements)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accompagnement à l’accès vers les archives ouvertes, création et publication de documents numériques pour les chercheurs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tutorat</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parcours d’autoformation en langues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format</w:t>
      </w:r>
      <w:r>
        <w:rPr>
          <w:rFonts w:cs="Times New Roman"/>
          <w:szCs w:val="24"/>
        </w:rPr>
        <w:t>ion à la recherche documentaire</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dialogues et accompagnement pédagogiques à destination des enseignants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formation aux usages numériques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certifications en langues et usages numériques</w:t>
      </w:r>
    </w:p>
    <w:p w:rsidR="00484BC4" w:rsidRPr="001B7DBA" w:rsidRDefault="00484BC4" w:rsidP="00484BC4">
      <w:pPr>
        <w:jc w:val="both"/>
        <w:rPr>
          <w:rFonts w:cs="Times New Roman"/>
          <w:color w:val="943634" w:themeColor="accent2" w:themeShade="BF"/>
          <w:szCs w:val="24"/>
        </w:rPr>
      </w:pPr>
    </w:p>
    <w:p w:rsidR="00484BC4" w:rsidRPr="001B7DBA" w:rsidRDefault="00484BC4" w:rsidP="00484BC4">
      <w:pPr>
        <w:jc w:val="both"/>
        <w:rPr>
          <w:rFonts w:cs="Times New Roman"/>
          <w:szCs w:val="24"/>
        </w:rPr>
      </w:pPr>
    </w:p>
    <w:p w:rsidR="00484BC4" w:rsidRPr="001B7DBA" w:rsidRDefault="00484BC4" w:rsidP="00484BC4">
      <w:pPr>
        <w:jc w:val="both"/>
        <w:rPr>
          <w:rFonts w:cs="Times New Roman"/>
          <w:szCs w:val="24"/>
        </w:rPr>
      </w:pPr>
      <w:r w:rsidRPr="001B7DBA">
        <w:rPr>
          <w:rFonts w:cs="Times New Roman"/>
          <w:szCs w:val="24"/>
        </w:rPr>
        <w:t>Des actions « Learning Center » sont déjà en marche, avant les murs</w:t>
      </w:r>
      <w:r>
        <w:rPr>
          <w:rFonts w:cs="Times New Roman"/>
          <w:szCs w:val="24"/>
        </w:rPr>
        <w:t> :</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veille informationnelle et technologique</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 xml:space="preserve">élaboration </w:t>
      </w:r>
      <w:proofErr w:type="gramStart"/>
      <w:r w:rsidRPr="001B7DBA">
        <w:rPr>
          <w:rFonts w:cs="Times New Roman"/>
          <w:szCs w:val="24"/>
        </w:rPr>
        <w:t>de e-portfolio</w:t>
      </w:r>
      <w:proofErr w:type="gramEnd"/>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portails numériques disciplinaires</w:t>
      </w:r>
    </w:p>
    <w:p w:rsidR="00484BC4" w:rsidRPr="001B7DBA" w:rsidRDefault="00484BC4" w:rsidP="00484BC4">
      <w:pPr>
        <w:numPr>
          <w:ilvl w:val="1"/>
          <w:numId w:val="6"/>
        </w:numPr>
        <w:tabs>
          <w:tab w:val="clear" w:pos="2852"/>
        </w:tabs>
        <w:ind w:left="0" w:hanging="17"/>
        <w:jc w:val="both"/>
        <w:rPr>
          <w:rFonts w:cs="Times New Roman"/>
          <w:szCs w:val="24"/>
        </w:rPr>
      </w:pPr>
      <w:r w:rsidRPr="001B7DBA">
        <w:rPr>
          <w:rFonts w:cs="Times New Roman"/>
          <w:szCs w:val="24"/>
        </w:rPr>
        <w:t>médiation, apprentissages alternatifs</w:t>
      </w:r>
    </w:p>
    <w:p w:rsidR="00484BC4" w:rsidRDefault="00484BC4" w:rsidP="001F632E">
      <w:pPr>
        <w:jc w:val="both"/>
        <w:rPr>
          <w:rFonts w:cs="Times New Roman"/>
          <w:bCs/>
          <w:color w:val="FF0000"/>
          <w:szCs w:val="24"/>
        </w:rPr>
      </w:pPr>
    </w:p>
    <w:p w:rsidR="00484BC4" w:rsidRPr="001B7DBA" w:rsidRDefault="00484BC4" w:rsidP="001F632E">
      <w:pPr>
        <w:jc w:val="both"/>
        <w:rPr>
          <w:rFonts w:cs="Times New Roman"/>
          <w:bCs/>
          <w:color w:val="FF0000"/>
          <w:szCs w:val="24"/>
        </w:rPr>
      </w:pPr>
    </w:p>
    <w:p w:rsidR="001B7DBA" w:rsidRPr="001B7DBA" w:rsidRDefault="00206345" w:rsidP="001B7DBA">
      <w:pPr>
        <w:jc w:val="both"/>
        <w:rPr>
          <w:rFonts w:eastAsia="Calibri" w:cs="Times New Roman"/>
          <w:b/>
          <w:bCs/>
          <w:color w:val="365F91" w:themeColor="accent1" w:themeShade="BF"/>
          <w:sz w:val="28"/>
          <w:szCs w:val="28"/>
        </w:rPr>
      </w:pPr>
      <w:r>
        <w:rPr>
          <w:rFonts w:eastAsia="Calibri" w:cs="Times New Roman"/>
          <w:b/>
          <w:bCs/>
          <w:color w:val="365F91" w:themeColor="accent1" w:themeShade="BF"/>
          <w:sz w:val="28"/>
          <w:szCs w:val="28"/>
        </w:rPr>
        <w:t>Socialisation, échange et apprentissage</w:t>
      </w:r>
    </w:p>
    <w:p w:rsidR="00F32DC6" w:rsidRPr="001B7DBA" w:rsidRDefault="00F32DC6" w:rsidP="00957B05">
      <w:pPr>
        <w:jc w:val="both"/>
        <w:rPr>
          <w:rFonts w:cs="Times New Roman"/>
          <w:szCs w:val="24"/>
        </w:rPr>
      </w:pPr>
    </w:p>
    <w:p w:rsidR="00714852" w:rsidRDefault="00F32DC6" w:rsidP="00714852">
      <w:pPr>
        <w:jc w:val="both"/>
        <w:rPr>
          <w:rFonts w:cs="Times New Roman"/>
          <w:bCs/>
          <w:szCs w:val="24"/>
        </w:rPr>
      </w:pPr>
      <w:r w:rsidRPr="001B7DBA">
        <w:rPr>
          <w:rFonts w:cs="Times New Roman"/>
          <w:szCs w:val="24"/>
        </w:rPr>
        <w:t xml:space="preserve">Le Learning Center </w:t>
      </w:r>
      <w:r w:rsidR="00DB0096">
        <w:rPr>
          <w:rFonts w:cs="Times New Roman"/>
          <w:szCs w:val="24"/>
        </w:rPr>
        <w:t>est par définition un lieu où apprendre autrement tant pour les enseignants qui pourront s’y former aux nouvelles méthodes et technologies que pour les étudiants qui y trouveront des ressources et un accompagnement méthodologique. Il promeut et soutient</w:t>
      </w:r>
      <w:r w:rsidRPr="001B7DBA">
        <w:rPr>
          <w:rFonts w:cs="Times New Roman"/>
          <w:szCs w:val="24"/>
        </w:rPr>
        <w:t xml:space="preserve"> l’apprentissage </w:t>
      </w:r>
      <w:r w:rsidR="00DB0096">
        <w:rPr>
          <w:rFonts w:cs="Times New Roman"/>
          <w:szCs w:val="24"/>
        </w:rPr>
        <w:t xml:space="preserve">collaboratif </w:t>
      </w:r>
      <w:r w:rsidRPr="001B7DBA">
        <w:rPr>
          <w:rFonts w:cs="Times New Roman"/>
          <w:szCs w:val="24"/>
        </w:rPr>
        <w:t xml:space="preserve">et l’innovation pédagogique en prenant appui sur la documentation </w:t>
      </w:r>
      <w:r w:rsidR="006821E4" w:rsidRPr="001B7DBA">
        <w:rPr>
          <w:rFonts w:cs="Times New Roman"/>
          <w:szCs w:val="24"/>
        </w:rPr>
        <w:t xml:space="preserve">papier ou </w:t>
      </w:r>
      <w:r w:rsidRPr="001B7DBA">
        <w:rPr>
          <w:rFonts w:cs="Times New Roman"/>
          <w:szCs w:val="24"/>
        </w:rPr>
        <w:t xml:space="preserve">électronique, les nouvelles technologies et les ressources en langue étrangère. Il se trouve à l’articulation de la formation et de la recherche, par la diffusion et la production des connaissances. </w:t>
      </w:r>
      <w:r w:rsidR="00714852" w:rsidRPr="001B7DBA">
        <w:rPr>
          <w:rFonts w:cs="Times New Roman"/>
          <w:bCs/>
          <w:szCs w:val="24"/>
        </w:rPr>
        <w:t>Il réunit p</w:t>
      </w:r>
      <w:r w:rsidR="00714852" w:rsidRPr="001B7DBA">
        <w:rPr>
          <w:rFonts w:cs="Times New Roman"/>
          <w:szCs w:val="24"/>
        </w:rPr>
        <w:t>lusieurs cercles : les habitants (le personnel du CLAM, du SCD, du pôle des Usages Numériques installé dans le bâtiment), les acteurs (le personnel, les enseignant</w:t>
      </w:r>
      <w:r w:rsidR="006821E4" w:rsidRPr="001B7DBA">
        <w:rPr>
          <w:rFonts w:cs="Times New Roman"/>
          <w:szCs w:val="24"/>
        </w:rPr>
        <w:t>s, et les étudiants intervenant</w:t>
      </w:r>
      <w:r w:rsidR="00714852" w:rsidRPr="001B7DBA">
        <w:rPr>
          <w:rFonts w:cs="Times New Roman"/>
          <w:szCs w:val="24"/>
        </w:rPr>
        <w:t xml:space="preserve"> dans des dispositifs de formation), et le cercle de ses usagers</w:t>
      </w:r>
      <w:r w:rsidR="00DB0096">
        <w:rPr>
          <w:rFonts w:cs="Times New Roman"/>
          <w:szCs w:val="24"/>
        </w:rPr>
        <w:t>, que la prédominance du travail collaboratif incite à considérer de manière très large</w:t>
      </w:r>
      <w:r w:rsidR="00714852" w:rsidRPr="001B7DBA">
        <w:rPr>
          <w:rFonts w:cs="Times New Roman"/>
          <w:szCs w:val="24"/>
        </w:rPr>
        <w:t xml:space="preserve"> : </w:t>
      </w:r>
      <w:r w:rsidR="00714852" w:rsidRPr="001B7DBA">
        <w:rPr>
          <w:rFonts w:cs="Times New Roman"/>
          <w:bCs/>
          <w:szCs w:val="24"/>
        </w:rPr>
        <w:t>étudiants, enseignants, chercheurs, personnel de l’univers</w:t>
      </w:r>
      <w:r w:rsidR="00484BC4">
        <w:rPr>
          <w:rFonts w:cs="Times New Roman"/>
          <w:bCs/>
          <w:szCs w:val="24"/>
        </w:rPr>
        <w:t>ité, lycéens, public de la M2A…</w:t>
      </w:r>
    </w:p>
    <w:p w:rsidR="00484BC4" w:rsidRPr="001B7DBA" w:rsidRDefault="00484BC4" w:rsidP="00714852">
      <w:pPr>
        <w:jc w:val="both"/>
        <w:rPr>
          <w:rFonts w:cs="Times New Roman"/>
          <w:szCs w:val="24"/>
        </w:rPr>
      </w:pPr>
    </w:p>
    <w:p w:rsidR="003B66C3" w:rsidRPr="001B7DBA" w:rsidRDefault="00E16035" w:rsidP="003B66C3">
      <w:pPr>
        <w:jc w:val="both"/>
        <w:rPr>
          <w:rFonts w:cs="Times New Roman"/>
        </w:rPr>
      </w:pPr>
      <w:r w:rsidRPr="001B7DBA">
        <w:rPr>
          <w:rFonts w:eastAsia="Calibri" w:cs="Times New Roman"/>
          <w:szCs w:val="24"/>
        </w:rPr>
        <w:t>Les dispositifs pédagogiques</w:t>
      </w:r>
      <w:r w:rsidR="008E4574" w:rsidRPr="001B7DBA">
        <w:rPr>
          <w:rFonts w:eastAsia="Calibri" w:cs="Times New Roman"/>
          <w:szCs w:val="24"/>
        </w:rPr>
        <w:t xml:space="preserve"> du Learning Center relèvent d’une</w:t>
      </w:r>
      <w:r w:rsidR="00DB1073" w:rsidRPr="001B7DBA">
        <w:rPr>
          <w:rFonts w:eastAsia="Calibri" w:cs="Times New Roman"/>
          <w:szCs w:val="24"/>
        </w:rPr>
        <w:t xml:space="preserve"> approche par compétences </w:t>
      </w:r>
      <w:r w:rsidR="008E4574" w:rsidRPr="001B7DBA">
        <w:rPr>
          <w:rFonts w:eastAsia="Calibri" w:cs="Times New Roman"/>
          <w:szCs w:val="24"/>
        </w:rPr>
        <w:t>et seront partie intégrante de l’offre de formation de l’université, dès l’accréditation 2018-2022</w:t>
      </w:r>
      <w:r w:rsidR="00DB1073" w:rsidRPr="001B7DBA">
        <w:rPr>
          <w:rFonts w:eastAsia="Calibri" w:cs="Times New Roman"/>
          <w:szCs w:val="24"/>
        </w:rPr>
        <w:t xml:space="preserve">. </w:t>
      </w:r>
      <w:r w:rsidR="003B66C3" w:rsidRPr="001B7DBA">
        <w:rPr>
          <w:rFonts w:eastAsia="Calibri" w:cs="Times New Roman"/>
          <w:szCs w:val="24"/>
        </w:rPr>
        <w:t xml:space="preserve">Ils font également écho aux recommandations du </w:t>
      </w:r>
      <w:r w:rsidR="003B66C3" w:rsidRPr="001B7DBA">
        <w:rPr>
          <w:rFonts w:cs="Times New Roman"/>
        </w:rPr>
        <w:t xml:space="preserve">rapport STRANES, notamment </w:t>
      </w:r>
      <w:r w:rsidR="008C676D" w:rsidRPr="001B7DBA">
        <w:rPr>
          <w:rFonts w:cs="Times New Roman"/>
        </w:rPr>
        <w:t>dans</w:t>
      </w:r>
      <w:r w:rsidR="003B66C3" w:rsidRPr="001B7DBA">
        <w:rPr>
          <w:rFonts w:cs="Times New Roman"/>
        </w:rPr>
        <w:t xml:space="preserve"> l’axe 4 « inventer l’éducation supérieure du </w:t>
      </w:r>
      <w:proofErr w:type="spellStart"/>
      <w:r w:rsidR="003B66C3" w:rsidRPr="001B7DBA">
        <w:rPr>
          <w:rFonts w:cs="Times New Roman"/>
        </w:rPr>
        <w:t>XX</w:t>
      </w:r>
      <w:r w:rsidR="00E86020" w:rsidRPr="001B7DBA">
        <w:rPr>
          <w:rFonts w:cs="Times New Roman"/>
        </w:rPr>
        <w:t>I</w:t>
      </w:r>
      <w:r w:rsidR="003B66C3" w:rsidRPr="001B7DBA">
        <w:rPr>
          <w:rFonts w:cs="Times New Roman"/>
        </w:rPr>
        <w:t>è</w:t>
      </w:r>
      <w:proofErr w:type="spellEnd"/>
      <w:r w:rsidR="003B66C3" w:rsidRPr="001B7DBA">
        <w:rPr>
          <w:rFonts w:cs="Times New Roman"/>
        </w:rPr>
        <w:t xml:space="preserve"> siècle ». Le Learning Center de l’UHA reprend à son compte le </w:t>
      </w:r>
      <w:r w:rsidR="003B66C3" w:rsidRPr="001B7DBA">
        <w:rPr>
          <w:rFonts w:cs="Times New Roman"/>
        </w:rPr>
        <w:lastRenderedPageBreak/>
        <w:t>principe suivant </w:t>
      </w:r>
      <w:r w:rsidR="00DA392C" w:rsidRPr="001B7DBA">
        <w:rPr>
          <w:rFonts w:cs="Times New Roman"/>
        </w:rPr>
        <w:t>: «</w:t>
      </w:r>
      <w:r w:rsidR="003B66C3" w:rsidRPr="001B7DBA">
        <w:rPr>
          <w:rFonts w:cs="Times New Roman"/>
        </w:rPr>
        <w:t>  Rendre les étudiants acteurs d’une pédagogie contributive, active et numérique est une des clefs d’une meilleure réussite ; reconnaître l’implication des personnels et leur permettre de déployer leur action est un des leviers de cette transformation</w:t>
      </w:r>
      <w:r w:rsidR="00EC649D" w:rsidRPr="001B7DBA">
        <w:rPr>
          <w:rStyle w:val="Appelnotedebasdep"/>
          <w:rFonts w:cs="Times New Roman"/>
        </w:rPr>
        <w:footnoteReference w:id="3"/>
      </w:r>
      <w:r w:rsidR="003B66C3" w:rsidRPr="001B7DBA">
        <w:rPr>
          <w:rFonts w:cs="Times New Roman"/>
        </w:rPr>
        <w:t> ».</w:t>
      </w:r>
      <w:r w:rsidR="00E86020" w:rsidRPr="001B7DBA">
        <w:rPr>
          <w:rFonts w:cs="Times New Roman"/>
        </w:rPr>
        <w:t xml:space="preserve"> </w:t>
      </w:r>
    </w:p>
    <w:p w:rsidR="00957B05" w:rsidRPr="001B7DBA" w:rsidRDefault="00957B05" w:rsidP="001F632E">
      <w:pPr>
        <w:jc w:val="both"/>
        <w:rPr>
          <w:rFonts w:eastAsia="Calibri" w:cs="Times New Roman"/>
          <w:b/>
          <w:bCs/>
          <w:color w:val="0070C0"/>
          <w:szCs w:val="24"/>
        </w:rPr>
      </w:pPr>
    </w:p>
    <w:p w:rsidR="00DB0096" w:rsidRDefault="001F632E" w:rsidP="001F632E">
      <w:pPr>
        <w:jc w:val="both"/>
        <w:rPr>
          <w:rFonts w:eastAsia="Calibri" w:cs="Times New Roman"/>
          <w:bCs/>
          <w:szCs w:val="24"/>
        </w:rPr>
      </w:pPr>
      <w:r w:rsidRPr="001B7DBA">
        <w:rPr>
          <w:rFonts w:eastAsia="Calibri" w:cs="Times New Roman"/>
          <w:szCs w:val="24"/>
        </w:rPr>
        <w:t xml:space="preserve">Le projet pédagogique du Learning Center place l’étudiant au cœur de ses apprentissages, cherche à lui donner plus d’autonomie, et l’accompagne dans cette transformation de soi que représentent les études supérieures. L’objectif est que chaque étudiant, quelle que soit la durée de son parcours à l’UHA, ait acquis des compétences, en plus de ses compétences disciplinaires, pour parler une </w:t>
      </w:r>
      <w:r w:rsidR="000D507A">
        <w:rPr>
          <w:rFonts w:eastAsia="Calibri" w:cs="Times New Roman"/>
          <w:szCs w:val="24"/>
        </w:rPr>
        <w:t xml:space="preserve">langue </w:t>
      </w:r>
      <w:r w:rsidR="00462B4B" w:rsidRPr="001B7DBA">
        <w:rPr>
          <w:rFonts w:eastAsia="Calibri" w:cs="Times New Roman"/>
          <w:szCs w:val="24"/>
        </w:rPr>
        <w:t xml:space="preserve">étrangère, se repérer dans la société de l’information, et utiliser les </w:t>
      </w:r>
      <w:r w:rsidRPr="001B7DBA">
        <w:rPr>
          <w:rFonts w:eastAsia="Calibri" w:cs="Times New Roman"/>
          <w:szCs w:val="24"/>
        </w:rPr>
        <w:t>nouvelles technologies de la communication.</w:t>
      </w:r>
    </w:p>
    <w:p w:rsidR="00DB0096" w:rsidRDefault="00DB0096" w:rsidP="001F632E">
      <w:pPr>
        <w:jc w:val="both"/>
        <w:rPr>
          <w:rFonts w:eastAsia="Calibri" w:cs="Times New Roman"/>
          <w:bCs/>
          <w:szCs w:val="24"/>
        </w:rPr>
      </w:pPr>
    </w:p>
    <w:p w:rsidR="001F632E" w:rsidRDefault="00DB0096" w:rsidP="001F632E">
      <w:pPr>
        <w:jc w:val="both"/>
        <w:rPr>
          <w:rFonts w:eastAsia="Calibri" w:cs="Times New Roman"/>
          <w:szCs w:val="24"/>
        </w:rPr>
      </w:pPr>
      <w:r>
        <w:rPr>
          <w:rFonts w:eastAsia="Calibri" w:cs="Times New Roman"/>
          <w:bCs/>
          <w:szCs w:val="24"/>
        </w:rPr>
        <w:t>Envisagé comme un lieu d’acculturation à l’étude, le Learning Center est un espace de médiation où l’</w:t>
      </w:r>
      <w:r w:rsidR="007A17E6">
        <w:rPr>
          <w:rFonts w:eastAsia="Calibri" w:cs="Times New Roman"/>
          <w:bCs/>
          <w:szCs w:val="24"/>
        </w:rPr>
        <w:t>accueil et l’accompagnement son</w:t>
      </w:r>
      <w:bookmarkStart w:id="0" w:name="_GoBack"/>
      <w:bookmarkEnd w:id="0"/>
      <w:r>
        <w:rPr>
          <w:rFonts w:eastAsia="Calibri" w:cs="Times New Roman"/>
          <w:bCs/>
          <w:szCs w:val="24"/>
        </w:rPr>
        <w:t>t prépondérants. Son projet pédagogique se conçoit comme un</w:t>
      </w:r>
      <w:r w:rsidR="001F632E" w:rsidRPr="001B7DBA">
        <w:rPr>
          <w:rFonts w:eastAsia="Calibri" w:cs="Times New Roman"/>
          <w:bCs/>
          <w:szCs w:val="24"/>
        </w:rPr>
        <w:t xml:space="preserve"> service </w:t>
      </w:r>
      <w:r w:rsidR="001F632E" w:rsidRPr="00DB0096">
        <w:rPr>
          <w:rFonts w:eastAsia="Calibri" w:cs="Times New Roman"/>
          <w:bCs/>
          <w:szCs w:val="24"/>
        </w:rPr>
        <w:t xml:space="preserve">méthodologique </w:t>
      </w:r>
      <w:r w:rsidR="00714852" w:rsidRPr="00DB0096">
        <w:rPr>
          <w:rFonts w:eastAsia="Calibri" w:cs="Times New Roman"/>
          <w:szCs w:val="24"/>
        </w:rPr>
        <w:t>fondé sur</w:t>
      </w:r>
      <w:r w:rsidR="00221D52" w:rsidRPr="00DB0096">
        <w:rPr>
          <w:rFonts w:eastAsia="Calibri" w:cs="Times New Roman"/>
          <w:szCs w:val="24"/>
        </w:rPr>
        <w:t xml:space="preserve"> l’activité</w:t>
      </w:r>
      <w:r w:rsidR="00221D52" w:rsidRPr="001B7DBA">
        <w:rPr>
          <w:rFonts w:eastAsia="Calibri" w:cs="Times New Roman"/>
          <w:szCs w:val="24"/>
        </w:rPr>
        <w:t xml:space="preserve"> comme vecteur d’apprentissage</w:t>
      </w:r>
      <w:r w:rsidR="00714852" w:rsidRPr="001B7DBA">
        <w:rPr>
          <w:rFonts w:eastAsia="Calibri" w:cs="Times New Roman"/>
          <w:szCs w:val="24"/>
        </w:rPr>
        <w:t>.</w:t>
      </w:r>
      <w:r w:rsidR="00DB1073" w:rsidRPr="001B7DBA">
        <w:rPr>
          <w:rFonts w:eastAsia="Calibri" w:cs="Times New Roman"/>
          <w:szCs w:val="24"/>
        </w:rPr>
        <w:t xml:space="preserve"> </w:t>
      </w:r>
      <w:r w:rsidR="0010660E" w:rsidRPr="001B7DBA">
        <w:rPr>
          <w:rFonts w:eastAsia="Calibri" w:cs="Times New Roman"/>
          <w:szCs w:val="24"/>
        </w:rPr>
        <w:t>Les mots clés de la campagne de communication – découvrir, comprendre, créer, partager – désignent l’alliance entre l’objectif d’autonomie et l’accompagnement méthodologique.</w:t>
      </w:r>
    </w:p>
    <w:p w:rsidR="001B7DBA" w:rsidRPr="001B7DBA" w:rsidRDefault="001B7DBA" w:rsidP="001F632E">
      <w:pPr>
        <w:jc w:val="both"/>
        <w:rPr>
          <w:rFonts w:eastAsia="Calibri" w:cs="Times New Roman"/>
          <w:szCs w:val="24"/>
        </w:rPr>
      </w:pPr>
    </w:p>
    <w:p w:rsidR="00DB1073" w:rsidRPr="001B7DBA" w:rsidRDefault="00DB1073" w:rsidP="00DB1073">
      <w:pPr>
        <w:jc w:val="both"/>
        <w:rPr>
          <w:rFonts w:eastAsia="Calibri" w:cs="Times New Roman"/>
          <w:bCs/>
          <w:szCs w:val="24"/>
        </w:rPr>
      </w:pPr>
      <w:r w:rsidRPr="001B7DBA">
        <w:rPr>
          <w:rFonts w:eastAsia="Calibri" w:cs="Times New Roman"/>
          <w:bCs/>
          <w:szCs w:val="24"/>
        </w:rPr>
        <w:t>Le Learning Center devien</w:t>
      </w:r>
      <w:r w:rsidR="0010660E" w:rsidRPr="001B7DBA">
        <w:rPr>
          <w:rFonts w:eastAsia="Calibri" w:cs="Times New Roman"/>
          <w:bCs/>
          <w:szCs w:val="24"/>
        </w:rPr>
        <w:t>t</w:t>
      </w:r>
      <w:r w:rsidRPr="001B7DBA">
        <w:rPr>
          <w:rFonts w:eastAsia="Calibri" w:cs="Times New Roman"/>
          <w:bCs/>
          <w:szCs w:val="24"/>
        </w:rPr>
        <w:t xml:space="preserve"> </w:t>
      </w:r>
      <w:r w:rsidR="0010660E" w:rsidRPr="001B7DBA">
        <w:rPr>
          <w:rFonts w:eastAsia="Calibri" w:cs="Times New Roman"/>
          <w:bCs/>
          <w:szCs w:val="24"/>
        </w:rPr>
        <w:t xml:space="preserve">ainsi </w:t>
      </w:r>
      <w:r w:rsidRPr="001B7DBA">
        <w:rPr>
          <w:rFonts w:eastAsia="Calibri" w:cs="Times New Roman"/>
          <w:bCs/>
          <w:szCs w:val="24"/>
        </w:rPr>
        <w:t>un lieu essentiel du parcours d’apprentissage</w:t>
      </w:r>
      <w:r w:rsidR="00DB0096">
        <w:rPr>
          <w:rFonts w:eastAsia="Calibri" w:cs="Times New Roman"/>
          <w:bCs/>
          <w:szCs w:val="24"/>
        </w:rPr>
        <w:t xml:space="preserve"> à l’UHA</w:t>
      </w:r>
      <w:r w:rsidRPr="001B7DBA">
        <w:rPr>
          <w:rFonts w:eastAsia="Calibri" w:cs="Times New Roman"/>
          <w:bCs/>
          <w:szCs w:val="24"/>
        </w:rPr>
        <w:t> : il contribue à l’acquisition de compétences transversales et vise l’autonomie de chacun, à travers le travail collaboratif</w:t>
      </w:r>
      <w:r w:rsidRPr="001B7DBA">
        <w:rPr>
          <w:rFonts w:eastAsia="Calibri" w:cs="Times New Roman"/>
          <w:szCs w:val="24"/>
        </w:rPr>
        <w:t>.</w:t>
      </w:r>
    </w:p>
    <w:p w:rsidR="001F632E" w:rsidRPr="001B7DBA" w:rsidRDefault="001F632E" w:rsidP="001F632E">
      <w:pPr>
        <w:jc w:val="both"/>
        <w:rPr>
          <w:rFonts w:eastAsia="Calibri" w:cs="Times New Roman"/>
          <w:szCs w:val="24"/>
        </w:rPr>
      </w:pPr>
    </w:p>
    <w:p w:rsidR="00A2315B" w:rsidRPr="001B7DBA" w:rsidRDefault="00A2315B" w:rsidP="00A2315B">
      <w:pPr>
        <w:jc w:val="both"/>
        <w:rPr>
          <w:rFonts w:cs="Times New Roman"/>
          <w:szCs w:val="24"/>
        </w:rPr>
      </w:pPr>
    </w:p>
    <w:sectPr w:rsidR="00A2315B" w:rsidRPr="001B7DBA" w:rsidSect="00390347">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128" w:rsidRDefault="001A5128" w:rsidP="00694924">
      <w:pPr>
        <w:spacing w:after="0"/>
      </w:pPr>
      <w:r>
        <w:separator/>
      </w:r>
    </w:p>
  </w:endnote>
  <w:endnote w:type="continuationSeparator" w:id="0">
    <w:p w:rsidR="001A5128" w:rsidRDefault="001A5128" w:rsidP="006949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22" w:rsidRPr="0046723E" w:rsidRDefault="00463D22" w:rsidP="0046723E">
    <w:pPr>
      <w:pStyle w:val="Pieddepage"/>
      <w:jc w:val="right"/>
      <w:rPr>
        <w:sz w:val="18"/>
        <w:szCs w:val="18"/>
      </w:rPr>
    </w:pPr>
    <w:r w:rsidRPr="0046723E">
      <w:rPr>
        <w:sz w:val="18"/>
        <w:szCs w:val="18"/>
      </w:rPr>
      <w:t xml:space="preserve">Dominique Meyer-Bolzinger, </w:t>
    </w:r>
    <w:r>
      <w:rPr>
        <w:sz w:val="18"/>
        <w:szCs w:val="18"/>
      </w:rPr>
      <w:t>novembre</w:t>
    </w:r>
    <w:r w:rsidRPr="0046723E">
      <w:rPr>
        <w:sz w:val="18"/>
        <w:szCs w:val="18"/>
      </w:rPr>
      <w:t xml:space="preserve"> 2015</w:t>
    </w:r>
  </w:p>
  <w:p w:rsidR="00463D22" w:rsidRDefault="00463D2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128" w:rsidRDefault="001A5128" w:rsidP="00694924">
      <w:pPr>
        <w:spacing w:after="0"/>
      </w:pPr>
      <w:r>
        <w:separator/>
      </w:r>
    </w:p>
  </w:footnote>
  <w:footnote w:type="continuationSeparator" w:id="0">
    <w:p w:rsidR="001A5128" w:rsidRDefault="001A5128" w:rsidP="00694924">
      <w:pPr>
        <w:spacing w:after="0"/>
      </w:pPr>
      <w:r>
        <w:continuationSeparator/>
      </w:r>
    </w:p>
  </w:footnote>
  <w:footnote w:id="1">
    <w:p w:rsidR="00EC649D" w:rsidRPr="00EC649D" w:rsidRDefault="00EC649D" w:rsidP="00EC649D">
      <w:pPr>
        <w:jc w:val="both"/>
        <w:rPr>
          <w:sz w:val="20"/>
          <w:szCs w:val="20"/>
        </w:rPr>
      </w:pPr>
      <w:r w:rsidRPr="00EC649D">
        <w:rPr>
          <w:rStyle w:val="Appelnotedebasdep"/>
          <w:sz w:val="20"/>
          <w:szCs w:val="20"/>
          <w:vertAlign w:val="baseline"/>
        </w:rPr>
        <w:footnoteRef/>
      </w:r>
      <w:r w:rsidRPr="00EC649D">
        <w:rPr>
          <w:sz w:val="20"/>
          <w:szCs w:val="20"/>
        </w:rPr>
        <w:t>. Suzanne JOUGUELET,</w:t>
      </w:r>
      <w:r w:rsidRPr="00EC649D">
        <w:rPr>
          <w:rFonts w:eastAsia="Times New Roman" w:cs="Times New Roman"/>
          <w:sz w:val="20"/>
          <w:szCs w:val="20"/>
          <w:lang w:eastAsia="fr-FR"/>
        </w:rPr>
        <w:t xml:space="preserve"> </w:t>
      </w:r>
      <w:r w:rsidRPr="00EC649D">
        <w:rPr>
          <w:rFonts w:eastAsia="Times New Roman" w:cs="Times New Roman"/>
          <w:i/>
          <w:sz w:val="20"/>
          <w:szCs w:val="20"/>
          <w:lang w:eastAsia="fr-FR"/>
        </w:rPr>
        <w:t xml:space="preserve">Les Learning </w:t>
      </w:r>
      <w:proofErr w:type="gramStart"/>
      <w:r w:rsidRPr="00EC649D">
        <w:rPr>
          <w:rFonts w:eastAsia="Times New Roman" w:cs="Times New Roman"/>
          <w:i/>
          <w:sz w:val="20"/>
          <w:szCs w:val="20"/>
          <w:lang w:eastAsia="fr-FR"/>
        </w:rPr>
        <w:t>centres</w:t>
      </w:r>
      <w:proofErr w:type="gramEnd"/>
      <w:r w:rsidRPr="00EC649D">
        <w:rPr>
          <w:rFonts w:eastAsia="Times New Roman" w:cs="Times New Roman"/>
          <w:i/>
          <w:sz w:val="20"/>
          <w:szCs w:val="20"/>
          <w:lang w:eastAsia="fr-FR"/>
        </w:rPr>
        <w:t>, un modèle international de bibliothèque intégrée à l’enseignement supérieur et à la recherche</w:t>
      </w:r>
      <w:r w:rsidRPr="00EC649D">
        <w:rPr>
          <w:rFonts w:eastAsia="Times New Roman" w:cs="Times New Roman"/>
          <w:sz w:val="20"/>
          <w:szCs w:val="20"/>
          <w:lang w:eastAsia="fr-FR"/>
        </w:rPr>
        <w:t>. MENSER, Paris, 2009</w:t>
      </w:r>
      <w:r>
        <w:rPr>
          <w:rFonts w:eastAsia="Times New Roman" w:cs="Times New Roman"/>
          <w:sz w:val="20"/>
          <w:szCs w:val="20"/>
          <w:lang w:eastAsia="fr-FR"/>
        </w:rPr>
        <w:t xml:space="preserve">, </w:t>
      </w:r>
      <w:r w:rsidRPr="00EC649D">
        <w:rPr>
          <w:rFonts w:eastAsia="Times New Roman" w:cs="Times New Roman"/>
          <w:sz w:val="20"/>
          <w:szCs w:val="20"/>
          <w:lang w:eastAsia="fr-FR"/>
        </w:rPr>
        <w:t>p.43.</w:t>
      </w:r>
    </w:p>
  </w:footnote>
  <w:footnote w:id="2">
    <w:p w:rsidR="00EC649D" w:rsidRPr="00EC649D" w:rsidRDefault="00EC649D" w:rsidP="00EC649D">
      <w:pPr>
        <w:jc w:val="both"/>
        <w:rPr>
          <w:rFonts w:asciiTheme="minorHAnsi" w:eastAsia="Times New Roman" w:hAnsiTheme="minorHAnsi" w:cs="Times New Roman"/>
          <w:sz w:val="20"/>
          <w:szCs w:val="20"/>
          <w:lang w:eastAsia="fr-FR"/>
        </w:rPr>
      </w:pPr>
      <w:r w:rsidRPr="00EC649D">
        <w:rPr>
          <w:rStyle w:val="Appelnotedebasdep"/>
          <w:sz w:val="20"/>
          <w:szCs w:val="20"/>
          <w:vertAlign w:val="baseline"/>
        </w:rPr>
        <w:footnoteRef/>
      </w:r>
      <w:r w:rsidRPr="00EC649D">
        <w:rPr>
          <w:sz w:val="20"/>
          <w:szCs w:val="20"/>
        </w:rPr>
        <w:t xml:space="preserve">. </w:t>
      </w:r>
      <w:r w:rsidRPr="00EC649D">
        <w:rPr>
          <w:rFonts w:eastAsia="Times New Roman" w:cs="Times New Roman"/>
          <w:sz w:val="20"/>
          <w:szCs w:val="20"/>
          <w:lang w:eastAsia="fr-FR"/>
        </w:rPr>
        <w:t>Caisse Des Dépôts, Conférence Des Présidents d’Université</w:t>
      </w:r>
      <w:r>
        <w:rPr>
          <w:rFonts w:eastAsia="Times New Roman" w:cs="Times New Roman"/>
          <w:sz w:val="20"/>
          <w:szCs w:val="20"/>
          <w:lang w:eastAsia="fr-FR"/>
        </w:rPr>
        <w:t>,</w:t>
      </w:r>
      <w:r w:rsidRPr="00EC649D">
        <w:rPr>
          <w:rFonts w:eastAsia="Times New Roman" w:cs="Times New Roman"/>
          <w:sz w:val="20"/>
          <w:szCs w:val="20"/>
          <w:lang w:eastAsia="fr-FR"/>
        </w:rPr>
        <w:t xml:space="preserve"> </w:t>
      </w:r>
      <w:r w:rsidRPr="00EC649D">
        <w:rPr>
          <w:rFonts w:eastAsia="Times New Roman" w:cs="Times New Roman"/>
          <w:i/>
          <w:sz w:val="20"/>
          <w:szCs w:val="20"/>
          <w:lang w:eastAsia="fr-FR"/>
        </w:rPr>
        <w:t>Mettre en place un Learning Centre. Enjeux et Problématiques. Rapport d’études</w:t>
      </w:r>
      <w:r>
        <w:rPr>
          <w:rFonts w:eastAsia="Times New Roman" w:cs="Times New Roman"/>
          <w:sz w:val="20"/>
          <w:szCs w:val="20"/>
          <w:lang w:eastAsia="fr-FR"/>
        </w:rPr>
        <w:t>,</w:t>
      </w:r>
      <w:r w:rsidRPr="00EC649D">
        <w:rPr>
          <w:rFonts w:eastAsia="Times New Roman" w:cs="Times New Roman"/>
          <w:sz w:val="20"/>
          <w:szCs w:val="20"/>
          <w:lang w:eastAsia="fr-FR"/>
        </w:rPr>
        <w:t xml:space="preserve"> Mai 2011.</w:t>
      </w:r>
    </w:p>
    <w:p w:rsidR="00EC649D" w:rsidRDefault="00EC649D">
      <w:pPr>
        <w:pStyle w:val="Notedebasdepage"/>
      </w:pPr>
    </w:p>
  </w:footnote>
  <w:footnote w:id="3">
    <w:p w:rsidR="00EC649D" w:rsidRPr="00EC649D" w:rsidRDefault="00EC649D">
      <w:pPr>
        <w:pStyle w:val="Notedebasdepage"/>
      </w:pPr>
      <w:r w:rsidRPr="00EC649D">
        <w:rPr>
          <w:rStyle w:val="Appelnotedebasdep"/>
          <w:vertAlign w:val="baseline"/>
        </w:rPr>
        <w:footnoteRef/>
      </w:r>
      <w:r w:rsidRPr="00EC649D">
        <w:t xml:space="preserve">. Sophie BEJEAN, </w:t>
      </w:r>
      <w:r w:rsidRPr="00EC649D">
        <w:rPr>
          <w:i/>
        </w:rPr>
        <w:t>Pour une société apprenante. Propositions pour une stratégie nationale de l’Enseignement Supérieur.</w:t>
      </w:r>
      <w:r w:rsidRPr="00EC649D">
        <w:t xml:space="preserve"> Rapport STRANES, Septembre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D22" w:rsidRPr="00694924" w:rsidRDefault="001A5128">
    <w:pPr>
      <w:pStyle w:val="En-tte"/>
      <w:jc w:val="right"/>
      <w:rPr>
        <w:sz w:val="18"/>
        <w:szCs w:val="18"/>
      </w:rPr>
    </w:pPr>
    <w:sdt>
      <w:sdtPr>
        <w:id w:val="-1469500755"/>
        <w:docPartObj>
          <w:docPartGallery w:val="Page Numbers (Top of Page)"/>
          <w:docPartUnique/>
        </w:docPartObj>
      </w:sdtPr>
      <w:sdtEndPr>
        <w:rPr>
          <w:sz w:val="18"/>
          <w:szCs w:val="18"/>
        </w:rPr>
      </w:sdtEndPr>
      <w:sdtContent>
        <w:r w:rsidR="008679FE" w:rsidRPr="00694924">
          <w:rPr>
            <w:sz w:val="18"/>
            <w:szCs w:val="18"/>
          </w:rPr>
          <w:fldChar w:fldCharType="begin"/>
        </w:r>
        <w:r w:rsidR="00463D22" w:rsidRPr="00694924">
          <w:rPr>
            <w:sz w:val="18"/>
            <w:szCs w:val="18"/>
          </w:rPr>
          <w:instrText>PAGE   \* MERGEFORMAT</w:instrText>
        </w:r>
        <w:r w:rsidR="008679FE" w:rsidRPr="00694924">
          <w:rPr>
            <w:sz w:val="18"/>
            <w:szCs w:val="18"/>
          </w:rPr>
          <w:fldChar w:fldCharType="separate"/>
        </w:r>
        <w:r w:rsidR="007A17E6">
          <w:rPr>
            <w:noProof/>
            <w:sz w:val="18"/>
            <w:szCs w:val="18"/>
          </w:rPr>
          <w:t>4</w:t>
        </w:r>
        <w:r w:rsidR="008679FE" w:rsidRPr="00694924">
          <w:rPr>
            <w:sz w:val="18"/>
            <w:szCs w:val="18"/>
          </w:rPr>
          <w:fldChar w:fldCharType="end"/>
        </w:r>
      </w:sdtContent>
    </w:sdt>
  </w:p>
  <w:p w:rsidR="00463D22" w:rsidRDefault="00463D2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0C7E"/>
    <w:multiLevelType w:val="hybridMultilevel"/>
    <w:tmpl w:val="FD30AD96"/>
    <w:lvl w:ilvl="0" w:tplc="EC563ECA">
      <w:start w:val="1"/>
      <w:numFmt w:val="bullet"/>
      <w:lvlText w:val=""/>
      <w:lvlJc w:val="left"/>
      <w:pPr>
        <w:ind w:left="720" w:hanging="360"/>
      </w:pPr>
      <w:rPr>
        <w:rFonts w:ascii="Wingdings" w:hAnsi="Wingdings" w:hint="default"/>
        <w:b w:val="0"/>
        <w:i w:val="0"/>
        <w:color w:val="808080"/>
        <w:sz w:val="24"/>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C66D61"/>
    <w:multiLevelType w:val="hybridMultilevel"/>
    <w:tmpl w:val="FE42C20C"/>
    <w:lvl w:ilvl="0" w:tplc="EC563ECA">
      <w:start w:val="1"/>
      <w:numFmt w:val="bullet"/>
      <w:lvlText w:val=""/>
      <w:lvlJc w:val="left"/>
      <w:pPr>
        <w:ind w:left="720" w:hanging="360"/>
      </w:pPr>
      <w:rPr>
        <w:rFonts w:ascii="Wingdings" w:hAnsi="Wingdings" w:hint="default"/>
        <w:b w:val="0"/>
        <w:i w:val="0"/>
        <w:color w:val="808080"/>
        <w:sz w:val="24"/>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5B96661"/>
    <w:multiLevelType w:val="hybridMultilevel"/>
    <w:tmpl w:val="E4B0FA7A"/>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B7B4A73"/>
    <w:multiLevelType w:val="hybridMultilevel"/>
    <w:tmpl w:val="B088C1A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C31192"/>
    <w:multiLevelType w:val="hybridMultilevel"/>
    <w:tmpl w:val="A3D24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7A04476"/>
    <w:multiLevelType w:val="hybridMultilevel"/>
    <w:tmpl w:val="E200B48C"/>
    <w:lvl w:ilvl="0" w:tplc="8146D3E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A366869"/>
    <w:multiLevelType w:val="hybridMultilevel"/>
    <w:tmpl w:val="BCDE2B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B156024"/>
    <w:multiLevelType w:val="hybridMultilevel"/>
    <w:tmpl w:val="8D8CD2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5243F3"/>
    <w:multiLevelType w:val="hybridMultilevel"/>
    <w:tmpl w:val="E97247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E3C53AF"/>
    <w:multiLevelType w:val="hybridMultilevel"/>
    <w:tmpl w:val="6956637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nsid w:val="42255634"/>
    <w:multiLevelType w:val="hybridMultilevel"/>
    <w:tmpl w:val="80605E82"/>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45B1C71"/>
    <w:multiLevelType w:val="hybridMultilevel"/>
    <w:tmpl w:val="87A2C2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C7C6A94"/>
    <w:multiLevelType w:val="hybridMultilevel"/>
    <w:tmpl w:val="E26E27A4"/>
    <w:lvl w:ilvl="0" w:tplc="EC563ECA">
      <w:start w:val="1"/>
      <w:numFmt w:val="bullet"/>
      <w:lvlText w:val=""/>
      <w:lvlJc w:val="left"/>
      <w:pPr>
        <w:tabs>
          <w:tab w:val="num" w:pos="2852"/>
        </w:tabs>
        <w:ind w:left="2852" w:hanging="360"/>
      </w:pPr>
      <w:rPr>
        <w:rFonts w:ascii="Wingdings" w:hAnsi="Wingdings" w:hint="default"/>
        <w:b w:val="0"/>
        <w:i w:val="0"/>
        <w:color w:val="808080"/>
        <w:sz w:val="24"/>
        <w:szCs w:val="22"/>
      </w:rPr>
    </w:lvl>
    <w:lvl w:ilvl="1" w:tplc="040C0001">
      <w:start w:val="1"/>
      <w:numFmt w:val="bullet"/>
      <w:lvlText w:val=""/>
      <w:lvlJc w:val="left"/>
      <w:pPr>
        <w:tabs>
          <w:tab w:val="num" w:pos="2852"/>
        </w:tabs>
        <w:ind w:left="2852" w:hanging="360"/>
      </w:pPr>
      <w:rPr>
        <w:rFonts w:ascii="Symbol" w:hAnsi="Symbol" w:hint="default"/>
      </w:rPr>
    </w:lvl>
    <w:lvl w:ilvl="2" w:tplc="040C000F">
      <w:start w:val="1"/>
      <w:numFmt w:val="decimal"/>
      <w:lvlText w:val="%3."/>
      <w:lvlJc w:val="left"/>
      <w:pPr>
        <w:tabs>
          <w:tab w:val="num" w:pos="3572"/>
        </w:tabs>
        <w:ind w:left="3572" w:hanging="360"/>
      </w:pPr>
      <w:rPr>
        <w:rFonts w:hint="default"/>
        <w:b w:val="0"/>
        <w:i w:val="0"/>
        <w:color w:val="808080"/>
        <w:sz w:val="24"/>
        <w:szCs w:val="22"/>
      </w:rPr>
    </w:lvl>
    <w:lvl w:ilvl="3" w:tplc="040C0001" w:tentative="1">
      <w:start w:val="1"/>
      <w:numFmt w:val="bullet"/>
      <w:lvlText w:val=""/>
      <w:lvlJc w:val="left"/>
      <w:pPr>
        <w:tabs>
          <w:tab w:val="num" w:pos="4292"/>
        </w:tabs>
        <w:ind w:left="4292" w:hanging="360"/>
      </w:pPr>
      <w:rPr>
        <w:rFonts w:ascii="Symbol" w:hAnsi="Symbol" w:hint="default"/>
      </w:rPr>
    </w:lvl>
    <w:lvl w:ilvl="4" w:tplc="040C0003" w:tentative="1">
      <w:start w:val="1"/>
      <w:numFmt w:val="bullet"/>
      <w:lvlText w:val="o"/>
      <w:lvlJc w:val="left"/>
      <w:pPr>
        <w:tabs>
          <w:tab w:val="num" w:pos="5012"/>
        </w:tabs>
        <w:ind w:left="5012" w:hanging="360"/>
      </w:pPr>
      <w:rPr>
        <w:rFonts w:ascii="Courier New" w:hAnsi="Courier New" w:cs="Courier New" w:hint="default"/>
      </w:rPr>
    </w:lvl>
    <w:lvl w:ilvl="5" w:tplc="040C0005" w:tentative="1">
      <w:start w:val="1"/>
      <w:numFmt w:val="bullet"/>
      <w:lvlText w:val=""/>
      <w:lvlJc w:val="left"/>
      <w:pPr>
        <w:tabs>
          <w:tab w:val="num" w:pos="5732"/>
        </w:tabs>
        <w:ind w:left="5732" w:hanging="360"/>
      </w:pPr>
      <w:rPr>
        <w:rFonts w:ascii="Wingdings" w:hAnsi="Wingdings" w:hint="default"/>
      </w:rPr>
    </w:lvl>
    <w:lvl w:ilvl="6" w:tplc="040C0001" w:tentative="1">
      <w:start w:val="1"/>
      <w:numFmt w:val="bullet"/>
      <w:lvlText w:val=""/>
      <w:lvlJc w:val="left"/>
      <w:pPr>
        <w:tabs>
          <w:tab w:val="num" w:pos="6452"/>
        </w:tabs>
        <w:ind w:left="6452" w:hanging="360"/>
      </w:pPr>
      <w:rPr>
        <w:rFonts w:ascii="Symbol" w:hAnsi="Symbol" w:hint="default"/>
      </w:rPr>
    </w:lvl>
    <w:lvl w:ilvl="7" w:tplc="040C0003" w:tentative="1">
      <w:start w:val="1"/>
      <w:numFmt w:val="bullet"/>
      <w:lvlText w:val="o"/>
      <w:lvlJc w:val="left"/>
      <w:pPr>
        <w:tabs>
          <w:tab w:val="num" w:pos="7172"/>
        </w:tabs>
        <w:ind w:left="7172" w:hanging="360"/>
      </w:pPr>
      <w:rPr>
        <w:rFonts w:ascii="Courier New" w:hAnsi="Courier New" w:cs="Courier New" w:hint="default"/>
      </w:rPr>
    </w:lvl>
    <w:lvl w:ilvl="8" w:tplc="040C0005" w:tentative="1">
      <w:start w:val="1"/>
      <w:numFmt w:val="bullet"/>
      <w:lvlText w:val=""/>
      <w:lvlJc w:val="left"/>
      <w:pPr>
        <w:tabs>
          <w:tab w:val="num" w:pos="7892"/>
        </w:tabs>
        <w:ind w:left="7892" w:hanging="360"/>
      </w:pPr>
      <w:rPr>
        <w:rFonts w:ascii="Wingdings" w:hAnsi="Wingdings" w:hint="default"/>
      </w:rPr>
    </w:lvl>
  </w:abstractNum>
  <w:abstractNum w:abstractNumId="13">
    <w:nsid w:val="536D37CD"/>
    <w:multiLevelType w:val="hybridMultilevel"/>
    <w:tmpl w:val="E714A8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426768C"/>
    <w:multiLevelType w:val="hybridMultilevel"/>
    <w:tmpl w:val="BC00CC18"/>
    <w:lvl w:ilvl="0" w:tplc="BAAE2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5559018D"/>
    <w:multiLevelType w:val="hybridMultilevel"/>
    <w:tmpl w:val="BC00CC18"/>
    <w:lvl w:ilvl="0" w:tplc="BAAE24B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8671DCA"/>
    <w:multiLevelType w:val="hybridMultilevel"/>
    <w:tmpl w:val="41DABCB6"/>
    <w:lvl w:ilvl="0" w:tplc="EC563ECA">
      <w:start w:val="1"/>
      <w:numFmt w:val="bullet"/>
      <w:lvlText w:val=""/>
      <w:lvlJc w:val="left"/>
      <w:pPr>
        <w:tabs>
          <w:tab w:val="num" w:pos="2852"/>
        </w:tabs>
        <w:ind w:left="2852" w:hanging="360"/>
      </w:pPr>
      <w:rPr>
        <w:rFonts w:ascii="Wingdings" w:hAnsi="Wingdings" w:hint="default"/>
        <w:b w:val="0"/>
        <w:i w:val="0"/>
        <w:color w:val="808080"/>
        <w:sz w:val="24"/>
        <w:szCs w:val="22"/>
      </w:rPr>
    </w:lvl>
    <w:lvl w:ilvl="1" w:tplc="040C0003">
      <w:start w:val="1"/>
      <w:numFmt w:val="bullet"/>
      <w:lvlText w:val="o"/>
      <w:lvlJc w:val="left"/>
      <w:pPr>
        <w:tabs>
          <w:tab w:val="num" w:pos="2852"/>
        </w:tabs>
        <w:ind w:left="2852" w:hanging="360"/>
      </w:pPr>
      <w:rPr>
        <w:rFonts w:ascii="Courier New" w:hAnsi="Courier New" w:cs="Courier New" w:hint="default"/>
      </w:rPr>
    </w:lvl>
    <w:lvl w:ilvl="2" w:tplc="040C000F">
      <w:start w:val="1"/>
      <w:numFmt w:val="decimal"/>
      <w:lvlText w:val="%3."/>
      <w:lvlJc w:val="left"/>
      <w:pPr>
        <w:tabs>
          <w:tab w:val="num" w:pos="3572"/>
        </w:tabs>
        <w:ind w:left="3572" w:hanging="360"/>
      </w:pPr>
      <w:rPr>
        <w:rFonts w:hint="default"/>
        <w:b w:val="0"/>
        <w:i w:val="0"/>
        <w:color w:val="808080"/>
        <w:sz w:val="24"/>
        <w:szCs w:val="22"/>
      </w:rPr>
    </w:lvl>
    <w:lvl w:ilvl="3" w:tplc="040C0001" w:tentative="1">
      <w:start w:val="1"/>
      <w:numFmt w:val="bullet"/>
      <w:lvlText w:val=""/>
      <w:lvlJc w:val="left"/>
      <w:pPr>
        <w:tabs>
          <w:tab w:val="num" w:pos="4292"/>
        </w:tabs>
        <w:ind w:left="4292" w:hanging="360"/>
      </w:pPr>
      <w:rPr>
        <w:rFonts w:ascii="Symbol" w:hAnsi="Symbol" w:hint="default"/>
      </w:rPr>
    </w:lvl>
    <w:lvl w:ilvl="4" w:tplc="040C0003" w:tentative="1">
      <w:start w:val="1"/>
      <w:numFmt w:val="bullet"/>
      <w:lvlText w:val="o"/>
      <w:lvlJc w:val="left"/>
      <w:pPr>
        <w:tabs>
          <w:tab w:val="num" w:pos="5012"/>
        </w:tabs>
        <w:ind w:left="5012" w:hanging="360"/>
      </w:pPr>
      <w:rPr>
        <w:rFonts w:ascii="Courier New" w:hAnsi="Courier New" w:cs="Courier New" w:hint="default"/>
      </w:rPr>
    </w:lvl>
    <w:lvl w:ilvl="5" w:tplc="040C0005" w:tentative="1">
      <w:start w:val="1"/>
      <w:numFmt w:val="bullet"/>
      <w:lvlText w:val=""/>
      <w:lvlJc w:val="left"/>
      <w:pPr>
        <w:tabs>
          <w:tab w:val="num" w:pos="5732"/>
        </w:tabs>
        <w:ind w:left="5732" w:hanging="360"/>
      </w:pPr>
      <w:rPr>
        <w:rFonts w:ascii="Wingdings" w:hAnsi="Wingdings" w:hint="default"/>
      </w:rPr>
    </w:lvl>
    <w:lvl w:ilvl="6" w:tplc="040C0001" w:tentative="1">
      <w:start w:val="1"/>
      <w:numFmt w:val="bullet"/>
      <w:lvlText w:val=""/>
      <w:lvlJc w:val="left"/>
      <w:pPr>
        <w:tabs>
          <w:tab w:val="num" w:pos="6452"/>
        </w:tabs>
        <w:ind w:left="6452" w:hanging="360"/>
      </w:pPr>
      <w:rPr>
        <w:rFonts w:ascii="Symbol" w:hAnsi="Symbol" w:hint="default"/>
      </w:rPr>
    </w:lvl>
    <w:lvl w:ilvl="7" w:tplc="040C0003" w:tentative="1">
      <w:start w:val="1"/>
      <w:numFmt w:val="bullet"/>
      <w:lvlText w:val="o"/>
      <w:lvlJc w:val="left"/>
      <w:pPr>
        <w:tabs>
          <w:tab w:val="num" w:pos="7172"/>
        </w:tabs>
        <w:ind w:left="7172" w:hanging="360"/>
      </w:pPr>
      <w:rPr>
        <w:rFonts w:ascii="Courier New" w:hAnsi="Courier New" w:cs="Courier New" w:hint="default"/>
      </w:rPr>
    </w:lvl>
    <w:lvl w:ilvl="8" w:tplc="040C0005" w:tentative="1">
      <w:start w:val="1"/>
      <w:numFmt w:val="bullet"/>
      <w:lvlText w:val=""/>
      <w:lvlJc w:val="left"/>
      <w:pPr>
        <w:tabs>
          <w:tab w:val="num" w:pos="7892"/>
        </w:tabs>
        <w:ind w:left="7892" w:hanging="360"/>
      </w:pPr>
      <w:rPr>
        <w:rFonts w:ascii="Wingdings" w:hAnsi="Wingdings" w:hint="default"/>
      </w:rPr>
    </w:lvl>
  </w:abstractNum>
  <w:abstractNum w:abstractNumId="17">
    <w:nsid w:val="5C1D7F97"/>
    <w:multiLevelType w:val="hybridMultilevel"/>
    <w:tmpl w:val="274A9068"/>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4E7914"/>
    <w:multiLevelType w:val="hybridMultilevel"/>
    <w:tmpl w:val="7D326FBE"/>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BEE4B1C"/>
    <w:multiLevelType w:val="hybridMultilevel"/>
    <w:tmpl w:val="59B04ED0"/>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C2E7927"/>
    <w:multiLevelType w:val="hybridMultilevel"/>
    <w:tmpl w:val="453EDDCE"/>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1EA7C4B"/>
    <w:multiLevelType w:val="hybridMultilevel"/>
    <w:tmpl w:val="7CA6681E"/>
    <w:lvl w:ilvl="0" w:tplc="E044265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D3075F9"/>
    <w:multiLevelType w:val="hybridMultilevel"/>
    <w:tmpl w:val="3C7A72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2"/>
  </w:num>
  <w:num w:numId="3">
    <w:abstractNumId w:val="10"/>
  </w:num>
  <w:num w:numId="4">
    <w:abstractNumId w:val="16"/>
  </w:num>
  <w:num w:numId="5">
    <w:abstractNumId w:val="4"/>
  </w:num>
  <w:num w:numId="6">
    <w:abstractNumId w:val="12"/>
  </w:num>
  <w:num w:numId="7">
    <w:abstractNumId w:val="22"/>
  </w:num>
  <w:num w:numId="8">
    <w:abstractNumId w:val="17"/>
  </w:num>
  <w:num w:numId="9">
    <w:abstractNumId w:val="8"/>
  </w:num>
  <w:num w:numId="10">
    <w:abstractNumId w:val="13"/>
  </w:num>
  <w:num w:numId="11">
    <w:abstractNumId w:val="0"/>
  </w:num>
  <w:num w:numId="12">
    <w:abstractNumId w:val="1"/>
  </w:num>
  <w:num w:numId="13">
    <w:abstractNumId w:val="20"/>
  </w:num>
  <w:num w:numId="14">
    <w:abstractNumId w:val="19"/>
  </w:num>
  <w:num w:numId="15">
    <w:abstractNumId w:val="3"/>
  </w:num>
  <w:num w:numId="16">
    <w:abstractNumId w:val="18"/>
  </w:num>
  <w:num w:numId="17">
    <w:abstractNumId w:val="9"/>
  </w:num>
  <w:num w:numId="18">
    <w:abstractNumId w:val="6"/>
  </w:num>
  <w:num w:numId="19">
    <w:abstractNumId w:val="7"/>
  </w:num>
  <w:num w:numId="20">
    <w:abstractNumId w:val="15"/>
  </w:num>
  <w:num w:numId="21">
    <w:abstractNumId w:val="14"/>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77"/>
    <w:rsid w:val="00036CCA"/>
    <w:rsid w:val="00047011"/>
    <w:rsid w:val="00047FC4"/>
    <w:rsid w:val="00051AB2"/>
    <w:rsid w:val="00057AA9"/>
    <w:rsid w:val="00087F00"/>
    <w:rsid w:val="00096E6B"/>
    <w:rsid w:val="000D507A"/>
    <w:rsid w:val="000F5E4D"/>
    <w:rsid w:val="00101493"/>
    <w:rsid w:val="0010660E"/>
    <w:rsid w:val="00112593"/>
    <w:rsid w:val="001148EB"/>
    <w:rsid w:val="00115470"/>
    <w:rsid w:val="00140932"/>
    <w:rsid w:val="0016078C"/>
    <w:rsid w:val="00165F4D"/>
    <w:rsid w:val="001758A6"/>
    <w:rsid w:val="001A0462"/>
    <w:rsid w:val="001A38FF"/>
    <w:rsid w:val="001A3E9F"/>
    <w:rsid w:val="001A5128"/>
    <w:rsid w:val="001B7DBA"/>
    <w:rsid w:val="001C5913"/>
    <w:rsid w:val="001F1423"/>
    <w:rsid w:val="001F5F8F"/>
    <w:rsid w:val="001F632E"/>
    <w:rsid w:val="00206345"/>
    <w:rsid w:val="002143A5"/>
    <w:rsid w:val="00221D52"/>
    <w:rsid w:val="00235043"/>
    <w:rsid w:val="00236B00"/>
    <w:rsid w:val="0024484B"/>
    <w:rsid w:val="00247B6A"/>
    <w:rsid w:val="00254F4D"/>
    <w:rsid w:val="00280E9C"/>
    <w:rsid w:val="00297AD3"/>
    <w:rsid w:val="002C0431"/>
    <w:rsid w:val="002F183E"/>
    <w:rsid w:val="002F73FF"/>
    <w:rsid w:val="00300411"/>
    <w:rsid w:val="00315022"/>
    <w:rsid w:val="00326EA3"/>
    <w:rsid w:val="00336FFE"/>
    <w:rsid w:val="00347A0B"/>
    <w:rsid w:val="00356D5C"/>
    <w:rsid w:val="003656D4"/>
    <w:rsid w:val="00390347"/>
    <w:rsid w:val="003B66C3"/>
    <w:rsid w:val="003C3B01"/>
    <w:rsid w:val="003C75CD"/>
    <w:rsid w:val="003D7475"/>
    <w:rsid w:val="003F2415"/>
    <w:rsid w:val="003F2FB9"/>
    <w:rsid w:val="00403AEA"/>
    <w:rsid w:val="00410684"/>
    <w:rsid w:val="00462B4B"/>
    <w:rsid w:val="00463D22"/>
    <w:rsid w:val="0046723E"/>
    <w:rsid w:val="00484BC4"/>
    <w:rsid w:val="004906A5"/>
    <w:rsid w:val="00491EC7"/>
    <w:rsid w:val="00497BCE"/>
    <w:rsid w:val="004C464F"/>
    <w:rsid w:val="004D357F"/>
    <w:rsid w:val="004D4B63"/>
    <w:rsid w:val="004E5D76"/>
    <w:rsid w:val="00514D5C"/>
    <w:rsid w:val="00545AE2"/>
    <w:rsid w:val="00554AA1"/>
    <w:rsid w:val="00566749"/>
    <w:rsid w:val="005873A2"/>
    <w:rsid w:val="00594DFF"/>
    <w:rsid w:val="005C1AE5"/>
    <w:rsid w:val="005E574A"/>
    <w:rsid w:val="00610504"/>
    <w:rsid w:val="00613FE2"/>
    <w:rsid w:val="006203F9"/>
    <w:rsid w:val="006615DC"/>
    <w:rsid w:val="0067107C"/>
    <w:rsid w:val="006821E4"/>
    <w:rsid w:val="00691A30"/>
    <w:rsid w:val="00693940"/>
    <w:rsid w:val="00694924"/>
    <w:rsid w:val="0069647B"/>
    <w:rsid w:val="006A53BC"/>
    <w:rsid w:val="006C15B5"/>
    <w:rsid w:val="006D4A57"/>
    <w:rsid w:val="006E3878"/>
    <w:rsid w:val="007042FD"/>
    <w:rsid w:val="00714852"/>
    <w:rsid w:val="00735EEC"/>
    <w:rsid w:val="007447E6"/>
    <w:rsid w:val="00754E0B"/>
    <w:rsid w:val="00764CB2"/>
    <w:rsid w:val="0078466B"/>
    <w:rsid w:val="007A17E6"/>
    <w:rsid w:val="007A3418"/>
    <w:rsid w:val="007B6870"/>
    <w:rsid w:val="007C6455"/>
    <w:rsid w:val="007D26D8"/>
    <w:rsid w:val="007E2594"/>
    <w:rsid w:val="008111C2"/>
    <w:rsid w:val="00851C1D"/>
    <w:rsid w:val="00853BF7"/>
    <w:rsid w:val="008544A7"/>
    <w:rsid w:val="008679FE"/>
    <w:rsid w:val="008845A1"/>
    <w:rsid w:val="0089232C"/>
    <w:rsid w:val="008961B1"/>
    <w:rsid w:val="00896363"/>
    <w:rsid w:val="008A0DB6"/>
    <w:rsid w:val="008A65DE"/>
    <w:rsid w:val="008B6D7F"/>
    <w:rsid w:val="008C676D"/>
    <w:rsid w:val="008E4574"/>
    <w:rsid w:val="00924FFC"/>
    <w:rsid w:val="0093383E"/>
    <w:rsid w:val="00937D61"/>
    <w:rsid w:val="009417C2"/>
    <w:rsid w:val="00957B05"/>
    <w:rsid w:val="0098581B"/>
    <w:rsid w:val="009A1A18"/>
    <w:rsid w:val="009C3BF2"/>
    <w:rsid w:val="009C7D54"/>
    <w:rsid w:val="009D0E3A"/>
    <w:rsid w:val="009D2874"/>
    <w:rsid w:val="009D3A2F"/>
    <w:rsid w:val="009D774A"/>
    <w:rsid w:val="00A2315B"/>
    <w:rsid w:val="00A26F9D"/>
    <w:rsid w:val="00A27622"/>
    <w:rsid w:val="00A331A3"/>
    <w:rsid w:val="00A37B78"/>
    <w:rsid w:val="00A77B98"/>
    <w:rsid w:val="00AA4965"/>
    <w:rsid w:val="00AE0905"/>
    <w:rsid w:val="00AE1C57"/>
    <w:rsid w:val="00AE608F"/>
    <w:rsid w:val="00AF5711"/>
    <w:rsid w:val="00B047BC"/>
    <w:rsid w:val="00B366AA"/>
    <w:rsid w:val="00B53727"/>
    <w:rsid w:val="00B54EF8"/>
    <w:rsid w:val="00B61579"/>
    <w:rsid w:val="00B66D6B"/>
    <w:rsid w:val="00B67101"/>
    <w:rsid w:val="00B86F8D"/>
    <w:rsid w:val="00BD3077"/>
    <w:rsid w:val="00BE20FA"/>
    <w:rsid w:val="00C237F1"/>
    <w:rsid w:val="00C265E6"/>
    <w:rsid w:val="00C43484"/>
    <w:rsid w:val="00C47A38"/>
    <w:rsid w:val="00C534A0"/>
    <w:rsid w:val="00C66BED"/>
    <w:rsid w:val="00C70162"/>
    <w:rsid w:val="00C7512F"/>
    <w:rsid w:val="00C77586"/>
    <w:rsid w:val="00C81254"/>
    <w:rsid w:val="00C826A9"/>
    <w:rsid w:val="00C86F74"/>
    <w:rsid w:val="00CA41F5"/>
    <w:rsid w:val="00CA5F2A"/>
    <w:rsid w:val="00CC2443"/>
    <w:rsid w:val="00D36387"/>
    <w:rsid w:val="00D537CA"/>
    <w:rsid w:val="00D76BCD"/>
    <w:rsid w:val="00D874E8"/>
    <w:rsid w:val="00DA1DA9"/>
    <w:rsid w:val="00DA392C"/>
    <w:rsid w:val="00DB0096"/>
    <w:rsid w:val="00DB1073"/>
    <w:rsid w:val="00DC168D"/>
    <w:rsid w:val="00DC5B3B"/>
    <w:rsid w:val="00DD0AB6"/>
    <w:rsid w:val="00DF776C"/>
    <w:rsid w:val="00E005A6"/>
    <w:rsid w:val="00E051B5"/>
    <w:rsid w:val="00E10730"/>
    <w:rsid w:val="00E16035"/>
    <w:rsid w:val="00E35A17"/>
    <w:rsid w:val="00E5515C"/>
    <w:rsid w:val="00E72AFC"/>
    <w:rsid w:val="00E86020"/>
    <w:rsid w:val="00E950D0"/>
    <w:rsid w:val="00EB0FF1"/>
    <w:rsid w:val="00EB5365"/>
    <w:rsid w:val="00EC125C"/>
    <w:rsid w:val="00EC649D"/>
    <w:rsid w:val="00ED5D0F"/>
    <w:rsid w:val="00EE27C1"/>
    <w:rsid w:val="00EF58BE"/>
    <w:rsid w:val="00F041D0"/>
    <w:rsid w:val="00F257A0"/>
    <w:rsid w:val="00F32DC6"/>
    <w:rsid w:val="00F46063"/>
    <w:rsid w:val="00F530C9"/>
    <w:rsid w:val="00F56375"/>
    <w:rsid w:val="00F56728"/>
    <w:rsid w:val="00F75D94"/>
    <w:rsid w:val="00FA1A3D"/>
    <w:rsid w:val="00FA2CA7"/>
    <w:rsid w:val="00FB1E63"/>
    <w:rsid w:val="00FC1C99"/>
    <w:rsid w:val="00FE5854"/>
    <w:rsid w:val="00FF1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A"/>
    <w:pPr>
      <w:spacing w:line="240" w:lineRule="auto"/>
      <w:contextualSpacing/>
    </w:pPr>
    <w:rPr>
      <w:rFonts w:ascii="Times New Roman" w:hAnsi="Times New Roman"/>
      <w:sz w:val="24"/>
    </w:rPr>
  </w:style>
  <w:style w:type="paragraph" w:styleId="Titre1">
    <w:name w:val="heading 1"/>
    <w:basedOn w:val="Normal"/>
    <w:next w:val="Normal"/>
    <w:link w:val="Titre1Car"/>
    <w:uiPriority w:val="9"/>
    <w:qFormat/>
    <w:rsid w:val="00D76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47E6"/>
    <w:pPr>
      <w:ind w:left="720"/>
    </w:pPr>
  </w:style>
  <w:style w:type="paragraph" w:styleId="Textedebulles">
    <w:name w:val="Balloon Text"/>
    <w:basedOn w:val="Normal"/>
    <w:link w:val="TextedebullesCar"/>
    <w:uiPriority w:val="99"/>
    <w:semiHidden/>
    <w:unhideWhenUsed/>
    <w:rsid w:val="00F5637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375"/>
    <w:rPr>
      <w:rFonts w:ascii="Tahoma" w:hAnsi="Tahoma" w:cs="Tahoma"/>
      <w:sz w:val="16"/>
      <w:szCs w:val="16"/>
    </w:rPr>
  </w:style>
  <w:style w:type="paragraph" w:styleId="En-tte">
    <w:name w:val="header"/>
    <w:basedOn w:val="Normal"/>
    <w:link w:val="En-tteCar"/>
    <w:uiPriority w:val="99"/>
    <w:unhideWhenUsed/>
    <w:rsid w:val="00694924"/>
    <w:pPr>
      <w:tabs>
        <w:tab w:val="center" w:pos="4536"/>
        <w:tab w:val="right" w:pos="9072"/>
      </w:tabs>
      <w:spacing w:after="0"/>
    </w:pPr>
  </w:style>
  <w:style w:type="character" w:customStyle="1" w:styleId="En-tteCar">
    <w:name w:val="En-tête Car"/>
    <w:basedOn w:val="Policepardfaut"/>
    <w:link w:val="En-tte"/>
    <w:uiPriority w:val="99"/>
    <w:rsid w:val="00694924"/>
    <w:rPr>
      <w:rFonts w:ascii="Times New Roman" w:hAnsi="Times New Roman"/>
      <w:sz w:val="24"/>
    </w:rPr>
  </w:style>
  <w:style w:type="paragraph" w:styleId="Pieddepage">
    <w:name w:val="footer"/>
    <w:basedOn w:val="Normal"/>
    <w:link w:val="PieddepageCar"/>
    <w:uiPriority w:val="99"/>
    <w:unhideWhenUsed/>
    <w:rsid w:val="00694924"/>
    <w:pPr>
      <w:tabs>
        <w:tab w:val="center" w:pos="4536"/>
        <w:tab w:val="right" w:pos="9072"/>
      </w:tabs>
      <w:spacing w:after="0"/>
    </w:pPr>
  </w:style>
  <w:style w:type="character" w:customStyle="1" w:styleId="PieddepageCar">
    <w:name w:val="Pied de page Car"/>
    <w:basedOn w:val="Policepardfaut"/>
    <w:link w:val="Pieddepage"/>
    <w:uiPriority w:val="99"/>
    <w:rsid w:val="00694924"/>
    <w:rPr>
      <w:rFonts w:ascii="Times New Roman" w:hAnsi="Times New Roman"/>
      <w:sz w:val="24"/>
    </w:rPr>
  </w:style>
  <w:style w:type="character" w:customStyle="1" w:styleId="Titre1Car">
    <w:name w:val="Titre 1 Car"/>
    <w:basedOn w:val="Policepardfaut"/>
    <w:link w:val="Titre1"/>
    <w:uiPriority w:val="9"/>
    <w:rsid w:val="00D76BCD"/>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497BCE"/>
    <w:pPr>
      <w:spacing w:after="0"/>
      <w:contextualSpacing w:val="0"/>
    </w:pPr>
    <w:rPr>
      <w:rFonts w:asciiTheme="minorHAnsi" w:hAnsiTheme="minorHAnsi"/>
      <w:sz w:val="20"/>
      <w:szCs w:val="20"/>
    </w:rPr>
  </w:style>
  <w:style w:type="character" w:customStyle="1" w:styleId="NotedebasdepageCar">
    <w:name w:val="Note de bas de page Car"/>
    <w:basedOn w:val="Policepardfaut"/>
    <w:link w:val="Notedebasdepage"/>
    <w:uiPriority w:val="99"/>
    <w:semiHidden/>
    <w:rsid w:val="00497BCE"/>
    <w:rPr>
      <w:sz w:val="20"/>
      <w:szCs w:val="20"/>
    </w:rPr>
  </w:style>
  <w:style w:type="character" w:styleId="Appelnotedebasdep">
    <w:name w:val="footnote reference"/>
    <w:basedOn w:val="Policepardfaut"/>
    <w:uiPriority w:val="99"/>
    <w:semiHidden/>
    <w:unhideWhenUsed/>
    <w:rsid w:val="00497B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B6A"/>
    <w:pPr>
      <w:spacing w:line="240" w:lineRule="auto"/>
      <w:contextualSpacing/>
    </w:pPr>
    <w:rPr>
      <w:rFonts w:ascii="Times New Roman" w:hAnsi="Times New Roman"/>
      <w:sz w:val="24"/>
    </w:rPr>
  </w:style>
  <w:style w:type="paragraph" w:styleId="Titre1">
    <w:name w:val="heading 1"/>
    <w:basedOn w:val="Normal"/>
    <w:next w:val="Normal"/>
    <w:link w:val="Titre1Car"/>
    <w:uiPriority w:val="9"/>
    <w:qFormat/>
    <w:rsid w:val="00D76B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447E6"/>
    <w:pPr>
      <w:ind w:left="720"/>
    </w:pPr>
  </w:style>
  <w:style w:type="paragraph" w:styleId="Textedebulles">
    <w:name w:val="Balloon Text"/>
    <w:basedOn w:val="Normal"/>
    <w:link w:val="TextedebullesCar"/>
    <w:uiPriority w:val="99"/>
    <w:semiHidden/>
    <w:unhideWhenUsed/>
    <w:rsid w:val="00F56375"/>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6375"/>
    <w:rPr>
      <w:rFonts w:ascii="Tahoma" w:hAnsi="Tahoma" w:cs="Tahoma"/>
      <w:sz w:val="16"/>
      <w:szCs w:val="16"/>
    </w:rPr>
  </w:style>
  <w:style w:type="paragraph" w:styleId="En-tte">
    <w:name w:val="header"/>
    <w:basedOn w:val="Normal"/>
    <w:link w:val="En-tteCar"/>
    <w:uiPriority w:val="99"/>
    <w:unhideWhenUsed/>
    <w:rsid w:val="00694924"/>
    <w:pPr>
      <w:tabs>
        <w:tab w:val="center" w:pos="4536"/>
        <w:tab w:val="right" w:pos="9072"/>
      </w:tabs>
      <w:spacing w:after="0"/>
    </w:pPr>
  </w:style>
  <w:style w:type="character" w:customStyle="1" w:styleId="En-tteCar">
    <w:name w:val="En-tête Car"/>
    <w:basedOn w:val="Policepardfaut"/>
    <w:link w:val="En-tte"/>
    <w:uiPriority w:val="99"/>
    <w:rsid w:val="00694924"/>
    <w:rPr>
      <w:rFonts w:ascii="Times New Roman" w:hAnsi="Times New Roman"/>
      <w:sz w:val="24"/>
    </w:rPr>
  </w:style>
  <w:style w:type="paragraph" w:styleId="Pieddepage">
    <w:name w:val="footer"/>
    <w:basedOn w:val="Normal"/>
    <w:link w:val="PieddepageCar"/>
    <w:uiPriority w:val="99"/>
    <w:unhideWhenUsed/>
    <w:rsid w:val="00694924"/>
    <w:pPr>
      <w:tabs>
        <w:tab w:val="center" w:pos="4536"/>
        <w:tab w:val="right" w:pos="9072"/>
      </w:tabs>
      <w:spacing w:after="0"/>
    </w:pPr>
  </w:style>
  <w:style w:type="character" w:customStyle="1" w:styleId="PieddepageCar">
    <w:name w:val="Pied de page Car"/>
    <w:basedOn w:val="Policepardfaut"/>
    <w:link w:val="Pieddepage"/>
    <w:uiPriority w:val="99"/>
    <w:rsid w:val="00694924"/>
    <w:rPr>
      <w:rFonts w:ascii="Times New Roman" w:hAnsi="Times New Roman"/>
      <w:sz w:val="24"/>
    </w:rPr>
  </w:style>
  <w:style w:type="character" w:customStyle="1" w:styleId="Titre1Car">
    <w:name w:val="Titre 1 Car"/>
    <w:basedOn w:val="Policepardfaut"/>
    <w:link w:val="Titre1"/>
    <w:uiPriority w:val="9"/>
    <w:rsid w:val="00D76BCD"/>
    <w:rPr>
      <w:rFonts w:asciiTheme="majorHAnsi" w:eastAsiaTheme="majorEastAsia" w:hAnsiTheme="majorHAnsi" w:cstheme="majorBidi"/>
      <w:b/>
      <w:bCs/>
      <w:color w:val="365F91" w:themeColor="accent1" w:themeShade="BF"/>
      <w:sz w:val="28"/>
      <w:szCs w:val="28"/>
    </w:rPr>
  </w:style>
  <w:style w:type="paragraph" w:styleId="Notedebasdepage">
    <w:name w:val="footnote text"/>
    <w:basedOn w:val="Normal"/>
    <w:link w:val="NotedebasdepageCar"/>
    <w:uiPriority w:val="99"/>
    <w:semiHidden/>
    <w:unhideWhenUsed/>
    <w:rsid w:val="00497BCE"/>
    <w:pPr>
      <w:spacing w:after="0"/>
      <w:contextualSpacing w:val="0"/>
    </w:pPr>
    <w:rPr>
      <w:rFonts w:asciiTheme="minorHAnsi" w:hAnsiTheme="minorHAnsi"/>
      <w:sz w:val="20"/>
      <w:szCs w:val="20"/>
    </w:rPr>
  </w:style>
  <w:style w:type="character" w:customStyle="1" w:styleId="NotedebasdepageCar">
    <w:name w:val="Note de bas de page Car"/>
    <w:basedOn w:val="Policepardfaut"/>
    <w:link w:val="Notedebasdepage"/>
    <w:uiPriority w:val="99"/>
    <w:semiHidden/>
    <w:rsid w:val="00497BCE"/>
    <w:rPr>
      <w:sz w:val="20"/>
      <w:szCs w:val="20"/>
    </w:rPr>
  </w:style>
  <w:style w:type="character" w:styleId="Appelnotedebasdep">
    <w:name w:val="footnote reference"/>
    <w:basedOn w:val="Policepardfaut"/>
    <w:uiPriority w:val="99"/>
    <w:semiHidden/>
    <w:unhideWhenUsed/>
    <w:rsid w:val="00497B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993329">
      <w:bodyDiv w:val="1"/>
      <w:marLeft w:val="0"/>
      <w:marRight w:val="0"/>
      <w:marTop w:val="0"/>
      <w:marBottom w:val="0"/>
      <w:divBdr>
        <w:top w:val="none" w:sz="0" w:space="0" w:color="auto"/>
        <w:left w:val="none" w:sz="0" w:space="0" w:color="auto"/>
        <w:bottom w:val="none" w:sz="0" w:space="0" w:color="auto"/>
        <w:right w:val="none" w:sz="0" w:space="0" w:color="auto"/>
      </w:divBdr>
      <w:divsChild>
        <w:div w:id="1660694841">
          <w:marLeft w:val="0"/>
          <w:marRight w:val="0"/>
          <w:marTop w:val="0"/>
          <w:marBottom w:val="0"/>
          <w:divBdr>
            <w:top w:val="none" w:sz="0" w:space="0" w:color="auto"/>
            <w:left w:val="none" w:sz="0" w:space="0" w:color="auto"/>
            <w:bottom w:val="none" w:sz="0" w:space="0" w:color="auto"/>
            <w:right w:val="none" w:sz="0" w:space="0" w:color="auto"/>
          </w:divBdr>
        </w:div>
        <w:div w:id="1618563838">
          <w:marLeft w:val="0"/>
          <w:marRight w:val="0"/>
          <w:marTop w:val="0"/>
          <w:marBottom w:val="0"/>
          <w:divBdr>
            <w:top w:val="none" w:sz="0" w:space="0" w:color="auto"/>
            <w:left w:val="none" w:sz="0" w:space="0" w:color="auto"/>
            <w:bottom w:val="none" w:sz="0" w:space="0" w:color="auto"/>
            <w:right w:val="none" w:sz="0" w:space="0" w:color="auto"/>
          </w:divBdr>
        </w:div>
        <w:div w:id="2092583600">
          <w:marLeft w:val="0"/>
          <w:marRight w:val="0"/>
          <w:marTop w:val="0"/>
          <w:marBottom w:val="0"/>
          <w:divBdr>
            <w:top w:val="none" w:sz="0" w:space="0" w:color="auto"/>
            <w:left w:val="none" w:sz="0" w:space="0" w:color="auto"/>
            <w:bottom w:val="none" w:sz="0" w:space="0" w:color="auto"/>
            <w:right w:val="none" w:sz="0" w:space="0" w:color="auto"/>
          </w:divBdr>
        </w:div>
        <w:div w:id="516770564">
          <w:marLeft w:val="0"/>
          <w:marRight w:val="0"/>
          <w:marTop w:val="0"/>
          <w:marBottom w:val="0"/>
          <w:divBdr>
            <w:top w:val="none" w:sz="0" w:space="0" w:color="auto"/>
            <w:left w:val="none" w:sz="0" w:space="0" w:color="auto"/>
            <w:bottom w:val="none" w:sz="0" w:space="0" w:color="auto"/>
            <w:right w:val="none" w:sz="0" w:space="0" w:color="auto"/>
          </w:divBdr>
          <w:divsChild>
            <w:div w:id="1665817894">
              <w:marLeft w:val="0"/>
              <w:marRight w:val="0"/>
              <w:marTop w:val="0"/>
              <w:marBottom w:val="0"/>
              <w:divBdr>
                <w:top w:val="none" w:sz="0" w:space="0" w:color="auto"/>
                <w:left w:val="none" w:sz="0" w:space="0" w:color="auto"/>
                <w:bottom w:val="none" w:sz="0" w:space="0" w:color="auto"/>
                <w:right w:val="none" w:sz="0" w:space="0" w:color="auto"/>
              </w:divBdr>
            </w:div>
          </w:divsChild>
        </w:div>
        <w:div w:id="1967740282">
          <w:marLeft w:val="0"/>
          <w:marRight w:val="0"/>
          <w:marTop w:val="0"/>
          <w:marBottom w:val="0"/>
          <w:divBdr>
            <w:top w:val="none" w:sz="0" w:space="0" w:color="auto"/>
            <w:left w:val="none" w:sz="0" w:space="0" w:color="auto"/>
            <w:bottom w:val="none" w:sz="0" w:space="0" w:color="auto"/>
            <w:right w:val="none" w:sz="0" w:space="0" w:color="auto"/>
          </w:divBdr>
        </w:div>
        <w:div w:id="1004747362">
          <w:marLeft w:val="0"/>
          <w:marRight w:val="0"/>
          <w:marTop w:val="0"/>
          <w:marBottom w:val="0"/>
          <w:divBdr>
            <w:top w:val="none" w:sz="0" w:space="0" w:color="auto"/>
            <w:left w:val="none" w:sz="0" w:space="0" w:color="auto"/>
            <w:bottom w:val="none" w:sz="0" w:space="0" w:color="auto"/>
            <w:right w:val="none" w:sz="0" w:space="0" w:color="auto"/>
          </w:divBdr>
        </w:div>
        <w:div w:id="1233350292">
          <w:marLeft w:val="0"/>
          <w:marRight w:val="0"/>
          <w:marTop w:val="0"/>
          <w:marBottom w:val="0"/>
          <w:divBdr>
            <w:top w:val="none" w:sz="0" w:space="0" w:color="auto"/>
            <w:left w:val="none" w:sz="0" w:space="0" w:color="auto"/>
            <w:bottom w:val="none" w:sz="0" w:space="0" w:color="auto"/>
            <w:right w:val="none" w:sz="0" w:space="0" w:color="auto"/>
          </w:divBdr>
        </w:div>
      </w:divsChild>
    </w:div>
    <w:div w:id="18665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8C7FB-376E-48B9-94C9-F550A2686B2A}"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fr-FR"/>
        </a:p>
      </dgm:t>
    </dgm:pt>
    <dgm:pt modelId="{590A4DAA-2373-44FE-8EC8-6073CA1BE239}">
      <dgm:prSet phldrT="[Texte]"/>
      <dgm:spPr>
        <a:xfrm>
          <a:off x="1914078" y="654"/>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r-FR">
              <a:solidFill>
                <a:sysClr val="window" lastClr="FFFFFF"/>
              </a:solidFill>
              <a:latin typeface="Calibri"/>
              <a:ea typeface="+mn-ea"/>
              <a:cs typeface="+mn-cs"/>
            </a:rPr>
            <a:t>Environnement flexible</a:t>
          </a:r>
        </a:p>
        <a:p>
          <a:pPr algn="ctr"/>
          <a:r>
            <a:rPr lang="fr-FR">
              <a:solidFill>
                <a:sysClr val="window" lastClr="FFFFFF"/>
              </a:solidFill>
              <a:latin typeface="Calibri"/>
              <a:ea typeface="+mn-ea"/>
              <a:cs typeface="+mn-cs"/>
            </a:rPr>
            <a:t>POLYVALENCE</a:t>
          </a:r>
        </a:p>
      </dgm:t>
    </dgm:pt>
    <dgm:pt modelId="{7553EB16-4BCD-41D0-BAC9-0FEE4F7A84EB}" type="parTrans" cxnId="{0422297F-0B96-44B3-BFF8-B75FD7B1CEC6}">
      <dgm:prSet/>
      <dgm:spPr/>
      <dgm:t>
        <a:bodyPr/>
        <a:lstStyle/>
        <a:p>
          <a:pPr algn="ctr"/>
          <a:endParaRPr lang="fr-FR"/>
        </a:p>
      </dgm:t>
    </dgm:pt>
    <dgm:pt modelId="{01B184F9-ED0E-483F-92FD-75E52667A7BA}" type="sibTrans" cxnId="{0422297F-0B96-44B3-BFF8-B75FD7B1CEC6}">
      <dgm:prSet/>
      <dgm:spPr>
        <a:xfrm rot="3600000">
          <a:off x="2996006" y="1455103"/>
          <a:ext cx="862689" cy="290192"/>
        </a:xfrm>
        <a:solidFill>
          <a:srgbClr val="4F81BD">
            <a:tint val="60000"/>
            <a:hueOff val="0"/>
            <a:satOff val="0"/>
            <a:lumOff val="0"/>
            <a:alphaOff val="0"/>
          </a:srgbClr>
        </a:solidFill>
        <a:ln>
          <a:noFill/>
        </a:ln>
        <a:effectLst/>
      </dgm:spPr>
      <dgm:t>
        <a:bodyPr/>
        <a:lstStyle/>
        <a:p>
          <a:pPr algn="ctr"/>
          <a:endParaRPr lang="fr-FR">
            <a:solidFill>
              <a:sysClr val="window" lastClr="FFFFFF"/>
            </a:solidFill>
            <a:latin typeface="Calibri"/>
            <a:ea typeface="+mn-ea"/>
            <a:cs typeface="+mn-cs"/>
          </a:endParaRPr>
        </a:p>
      </dgm:t>
    </dgm:pt>
    <dgm:pt modelId="{E7472BB1-AB9D-47E0-AE6E-555AB6E0B59F}">
      <dgm:prSet phldrT="[Texte]"/>
      <dgm:spPr>
        <a:xfrm>
          <a:off x="545776" y="2370623"/>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r-FR">
              <a:solidFill>
                <a:sysClr val="window" lastClr="FFFFFF"/>
              </a:solidFill>
              <a:latin typeface="Calibri"/>
              <a:ea typeface="+mn-ea"/>
              <a:cs typeface="+mn-cs"/>
            </a:rPr>
            <a:t>Intégration de ressources, expertises et services</a:t>
          </a:r>
        </a:p>
        <a:p>
          <a:pPr algn="ctr"/>
          <a:r>
            <a:rPr lang="fr-FR">
              <a:solidFill>
                <a:sysClr val="window" lastClr="FFFFFF"/>
              </a:solidFill>
              <a:latin typeface="Calibri"/>
              <a:ea typeface="+mn-ea"/>
              <a:cs typeface="+mn-cs"/>
            </a:rPr>
            <a:t>GUICHET UNIQUE</a:t>
          </a:r>
        </a:p>
      </dgm:t>
    </dgm:pt>
    <dgm:pt modelId="{B86F6E52-4560-4D78-8CA3-48B5ABB924A3}" type="parTrans" cxnId="{66B7F898-D312-457E-A99A-1B5E45B20A44}">
      <dgm:prSet/>
      <dgm:spPr/>
      <dgm:t>
        <a:bodyPr/>
        <a:lstStyle/>
        <a:p>
          <a:pPr algn="ctr"/>
          <a:endParaRPr lang="fr-FR"/>
        </a:p>
      </dgm:t>
    </dgm:pt>
    <dgm:pt modelId="{BA5D28EE-688C-4CAA-852D-2B9A5A1A04B7}" type="sibTrans" cxnId="{66B7F898-D312-457E-A99A-1B5E45B20A44}">
      <dgm:prSet/>
      <dgm:spPr>
        <a:xfrm rot="18000000">
          <a:off x="1627704" y="1455103"/>
          <a:ext cx="862689" cy="290192"/>
        </a:xfrm>
        <a:solidFill>
          <a:srgbClr val="4F81BD">
            <a:tint val="60000"/>
            <a:hueOff val="0"/>
            <a:satOff val="0"/>
            <a:lumOff val="0"/>
            <a:alphaOff val="0"/>
          </a:srgbClr>
        </a:solidFill>
        <a:ln>
          <a:noFill/>
        </a:ln>
        <a:effectLst/>
      </dgm:spPr>
      <dgm:t>
        <a:bodyPr/>
        <a:lstStyle/>
        <a:p>
          <a:pPr algn="ctr"/>
          <a:endParaRPr lang="fr-FR">
            <a:solidFill>
              <a:sysClr val="window" lastClr="FFFFFF"/>
            </a:solidFill>
            <a:latin typeface="Calibri"/>
            <a:ea typeface="+mn-ea"/>
            <a:cs typeface="+mn-cs"/>
          </a:endParaRPr>
        </a:p>
      </dgm:t>
    </dgm:pt>
    <dgm:pt modelId="{F04F7DF7-1B41-4EF6-924E-55C1278D7785}">
      <dgm:prSet/>
      <dgm:spPr>
        <a:xfrm>
          <a:off x="3282380" y="2370623"/>
          <a:ext cx="1658242" cy="82912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r>
            <a:rPr lang="fr-FR">
              <a:solidFill>
                <a:sysClr val="window" lastClr="FFFFFF"/>
              </a:solidFill>
              <a:latin typeface="Calibri"/>
              <a:ea typeface="+mn-ea"/>
              <a:cs typeface="+mn-cs"/>
            </a:rPr>
            <a:t>Anticipation</a:t>
          </a:r>
          <a:r>
            <a:rPr lang="fr-FR" baseline="0">
              <a:solidFill>
                <a:sysClr val="window" lastClr="FFFFFF"/>
              </a:solidFill>
              <a:latin typeface="Calibri"/>
              <a:ea typeface="+mn-ea"/>
              <a:cs typeface="+mn-cs"/>
            </a:rPr>
            <a:t> et conduite d'un changement de modèle d'apprentissage</a:t>
          </a:r>
        </a:p>
        <a:p>
          <a:pPr algn="ctr"/>
          <a:r>
            <a:rPr lang="fr-FR" baseline="0">
              <a:solidFill>
                <a:sysClr val="window" lastClr="FFFFFF"/>
              </a:solidFill>
              <a:latin typeface="Calibri"/>
              <a:ea typeface="+mn-ea"/>
              <a:cs typeface="+mn-cs"/>
            </a:rPr>
            <a:t>PEDAGOGIE</a:t>
          </a:r>
          <a:endParaRPr lang="fr-FR">
            <a:solidFill>
              <a:sysClr val="window" lastClr="FFFFFF"/>
            </a:solidFill>
            <a:latin typeface="Calibri"/>
            <a:ea typeface="+mn-ea"/>
            <a:cs typeface="+mn-cs"/>
          </a:endParaRPr>
        </a:p>
      </dgm:t>
    </dgm:pt>
    <dgm:pt modelId="{5EC4DFE7-A361-4A72-936E-55077585D394}" type="parTrans" cxnId="{DDCC6CB7-27C3-4698-9BEE-2E4E88CB7FF9}">
      <dgm:prSet/>
      <dgm:spPr/>
      <dgm:t>
        <a:bodyPr/>
        <a:lstStyle/>
        <a:p>
          <a:pPr algn="ctr"/>
          <a:endParaRPr lang="fr-FR"/>
        </a:p>
      </dgm:t>
    </dgm:pt>
    <dgm:pt modelId="{461BAB66-C29C-4B56-8BCD-DB450FDBA2C9}" type="sibTrans" cxnId="{DDCC6CB7-27C3-4698-9BEE-2E4E88CB7FF9}">
      <dgm:prSet/>
      <dgm:spPr>
        <a:xfrm rot="10800000">
          <a:off x="2311855" y="2640088"/>
          <a:ext cx="862689" cy="290192"/>
        </a:xfrm>
        <a:solidFill>
          <a:srgbClr val="4F81BD">
            <a:tint val="60000"/>
            <a:hueOff val="0"/>
            <a:satOff val="0"/>
            <a:lumOff val="0"/>
            <a:alphaOff val="0"/>
          </a:srgbClr>
        </a:solidFill>
        <a:ln>
          <a:noFill/>
        </a:ln>
        <a:effectLst/>
      </dgm:spPr>
      <dgm:t>
        <a:bodyPr/>
        <a:lstStyle/>
        <a:p>
          <a:pPr algn="ctr"/>
          <a:endParaRPr lang="fr-FR">
            <a:solidFill>
              <a:sysClr val="window" lastClr="FFFFFF"/>
            </a:solidFill>
            <a:latin typeface="Calibri"/>
            <a:ea typeface="+mn-ea"/>
            <a:cs typeface="+mn-cs"/>
          </a:endParaRPr>
        </a:p>
      </dgm:t>
    </dgm:pt>
    <dgm:pt modelId="{3EE94AF8-CBCE-4070-B6E6-C71A7550503F}" type="pres">
      <dgm:prSet presAssocID="{0DB8C7FB-376E-48B9-94C9-F550A2686B2A}" presName="Name0" presStyleCnt="0">
        <dgm:presLayoutVars>
          <dgm:dir/>
          <dgm:resizeHandles val="exact"/>
        </dgm:presLayoutVars>
      </dgm:prSet>
      <dgm:spPr/>
      <dgm:t>
        <a:bodyPr/>
        <a:lstStyle/>
        <a:p>
          <a:endParaRPr lang="fr-FR"/>
        </a:p>
      </dgm:t>
    </dgm:pt>
    <dgm:pt modelId="{88F8874D-AD50-4EC4-8DC9-9EF311AA4941}" type="pres">
      <dgm:prSet presAssocID="{590A4DAA-2373-44FE-8EC8-6073CA1BE239}" presName="node" presStyleLbl="node1" presStyleIdx="0" presStyleCnt="3">
        <dgm:presLayoutVars>
          <dgm:bulletEnabled val="1"/>
        </dgm:presLayoutVars>
      </dgm:prSet>
      <dgm:spPr>
        <a:prstGeom prst="roundRect">
          <a:avLst>
            <a:gd name="adj" fmla="val 10000"/>
          </a:avLst>
        </a:prstGeom>
      </dgm:spPr>
      <dgm:t>
        <a:bodyPr/>
        <a:lstStyle/>
        <a:p>
          <a:endParaRPr lang="fr-FR"/>
        </a:p>
      </dgm:t>
    </dgm:pt>
    <dgm:pt modelId="{E128E6B5-E639-4806-ACC8-FC5317B89308}" type="pres">
      <dgm:prSet presAssocID="{01B184F9-ED0E-483F-92FD-75E52667A7BA}" presName="sibTrans" presStyleLbl="sibTrans2D1" presStyleIdx="0" presStyleCnt="3"/>
      <dgm:spPr>
        <a:prstGeom prst="leftRightArrow">
          <a:avLst>
            <a:gd name="adj1" fmla="val 60000"/>
            <a:gd name="adj2" fmla="val 50000"/>
          </a:avLst>
        </a:prstGeom>
      </dgm:spPr>
      <dgm:t>
        <a:bodyPr/>
        <a:lstStyle/>
        <a:p>
          <a:endParaRPr lang="fr-FR"/>
        </a:p>
      </dgm:t>
    </dgm:pt>
    <dgm:pt modelId="{C0C299CB-B3BB-477D-88B2-72514A75CFA0}" type="pres">
      <dgm:prSet presAssocID="{01B184F9-ED0E-483F-92FD-75E52667A7BA}" presName="connectorText" presStyleLbl="sibTrans2D1" presStyleIdx="0" presStyleCnt="3"/>
      <dgm:spPr/>
      <dgm:t>
        <a:bodyPr/>
        <a:lstStyle/>
        <a:p>
          <a:endParaRPr lang="fr-FR"/>
        </a:p>
      </dgm:t>
    </dgm:pt>
    <dgm:pt modelId="{DD32B502-CFAF-4CD8-92E7-935DD964BE00}" type="pres">
      <dgm:prSet presAssocID="{F04F7DF7-1B41-4EF6-924E-55C1278D7785}" presName="node" presStyleLbl="node1" presStyleIdx="1" presStyleCnt="3">
        <dgm:presLayoutVars>
          <dgm:bulletEnabled val="1"/>
        </dgm:presLayoutVars>
      </dgm:prSet>
      <dgm:spPr>
        <a:prstGeom prst="roundRect">
          <a:avLst>
            <a:gd name="adj" fmla="val 10000"/>
          </a:avLst>
        </a:prstGeom>
      </dgm:spPr>
      <dgm:t>
        <a:bodyPr/>
        <a:lstStyle/>
        <a:p>
          <a:endParaRPr lang="fr-FR"/>
        </a:p>
      </dgm:t>
    </dgm:pt>
    <dgm:pt modelId="{5466EC20-2D8A-4B68-B505-6B0D91BD3D32}" type="pres">
      <dgm:prSet presAssocID="{461BAB66-C29C-4B56-8BCD-DB450FDBA2C9}" presName="sibTrans" presStyleLbl="sibTrans2D1" presStyleIdx="1" presStyleCnt="3"/>
      <dgm:spPr>
        <a:prstGeom prst="leftRightArrow">
          <a:avLst>
            <a:gd name="adj1" fmla="val 60000"/>
            <a:gd name="adj2" fmla="val 50000"/>
          </a:avLst>
        </a:prstGeom>
      </dgm:spPr>
      <dgm:t>
        <a:bodyPr/>
        <a:lstStyle/>
        <a:p>
          <a:endParaRPr lang="fr-FR"/>
        </a:p>
      </dgm:t>
    </dgm:pt>
    <dgm:pt modelId="{C4BFA4CC-E166-4ECC-B7CB-84BF993B30ED}" type="pres">
      <dgm:prSet presAssocID="{461BAB66-C29C-4B56-8BCD-DB450FDBA2C9}" presName="connectorText" presStyleLbl="sibTrans2D1" presStyleIdx="1" presStyleCnt="3"/>
      <dgm:spPr/>
      <dgm:t>
        <a:bodyPr/>
        <a:lstStyle/>
        <a:p>
          <a:endParaRPr lang="fr-FR"/>
        </a:p>
      </dgm:t>
    </dgm:pt>
    <dgm:pt modelId="{55E40169-61B6-485A-88BD-E1CF8BD50E3A}" type="pres">
      <dgm:prSet presAssocID="{E7472BB1-AB9D-47E0-AE6E-555AB6E0B59F}" presName="node" presStyleLbl="node1" presStyleIdx="2" presStyleCnt="3">
        <dgm:presLayoutVars>
          <dgm:bulletEnabled val="1"/>
        </dgm:presLayoutVars>
      </dgm:prSet>
      <dgm:spPr>
        <a:prstGeom prst="roundRect">
          <a:avLst>
            <a:gd name="adj" fmla="val 10000"/>
          </a:avLst>
        </a:prstGeom>
      </dgm:spPr>
      <dgm:t>
        <a:bodyPr/>
        <a:lstStyle/>
        <a:p>
          <a:endParaRPr lang="fr-FR"/>
        </a:p>
      </dgm:t>
    </dgm:pt>
    <dgm:pt modelId="{DEE1EEEC-98E0-4356-B673-C64587BDAB5C}" type="pres">
      <dgm:prSet presAssocID="{BA5D28EE-688C-4CAA-852D-2B9A5A1A04B7}" presName="sibTrans" presStyleLbl="sibTrans2D1" presStyleIdx="2" presStyleCnt="3"/>
      <dgm:spPr>
        <a:prstGeom prst="leftRightArrow">
          <a:avLst>
            <a:gd name="adj1" fmla="val 60000"/>
            <a:gd name="adj2" fmla="val 50000"/>
          </a:avLst>
        </a:prstGeom>
      </dgm:spPr>
      <dgm:t>
        <a:bodyPr/>
        <a:lstStyle/>
        <a:p>
          <a:endParaRPr lang="fr-FR"/>
        </a:p>
      </dgm:t>
    </dgm:pt>
    <dgm:pt modelId="{E4C19096-FB3B-4DCB-B128-D8D530E383E5}" type="pres">
      <dgm:prSet presAssocID="{BA5D28EE-688C-4CAA-852D-2B9A5A1A04B7}" presName="connectorText" presStyleLbl="sibTrans2D1" presStyleIdx="2" presStyleCnt="3"/>
      <dgm:spPr/>
      <dgm:t>
        <a:bodyPr/>
        <a:lstStyle/>
        <a:p>
          <a:endParaRPr lang="fr-FR"/>
        </a:p>
      </dgm:t>
    </dgm:pt>
  </dgm:ptLst>
  <dgm:cxnLst>
    <dgm:cxn modelId="{828E022F-6448-44F8-8102-6B03F783A956}" type="presOf" srcId="{0DB8C7FB-376E-48B9-94C9-F550A2686B2A}" destId="{3EE94AF8-CBCE-4070-B6E6-C71A7550503F}" srcOrd="0" destOrd="0" presId="urn:microsoft.com/office/officeart/2005/8/layout/cycle7"/>
    <dgm:cxn modelId="{66B7F898-D312-457E-A99A-1B5E45B20A44}" srcId="{0DB8C7FB-376E-48B9-94C9-F550A2686B2A}" destId="{E7472BB1-AB9D-47E0-AE6E-555AB6E0B59F}" srcOrd="2" destOrd="0" parTransId="{B86F6E52-4560-4D78-8CA3-48B5ABB924A3}" sibTransId="{BA5D28EE-688C-4CAA-852D-2B9A5A1A04B7}"/>
    <dgm:cxn modelId="{DDCC6CB7-27C3-4698-9BEE-2E4E88CB7FF9}" srcId="{0DB8C7FB-376E-48B9-94C9-F550A2686B2A}" destId="{F04F7DF7-1B41-4EF6-924E-55C1278D7785}" srcOrd="1" destOrd="0" parTransId="{5EC4DFE7-A361-4A72-936E-55077585D394}" sibTransId="{461BAB66-C29C-4B56-8BCD-DB450FDBA2C9}"/>
    <dgm:cxn modelId="{AD947123-7206-4B45-BFD8-931FC5103479}" type="presOf" srcId="{461BAB66-C29C-4B56-8BCD-DB450FDBA2C9}" destId="{5466EC20-2D8A-4B68-B505-6B0D91BD3D32}" srcOrd="0" destOrd="0" presId="urn:microsoft.com/office/officeart/2005/8/layout/cycle7"/>
    <dgm:cxn modelId="{60B40FDE-F6B1-4952-89BC-A1A3FD169419}" type="presOf" srcId="{461BAB66-C29C-4B56-8BCD-DB450FDBA2C9}" destId="{C4BFA4CC-E166-4ECC-B7CB-84BF993B30ED}" srcOrd="1" destOrd="0" presId="urn:microsoft.com/office/officeart/2005/8/layout/cycle7"/>
    <dgm:cxn modelId="{0422297F-0B96-44B3-BFF8-B75FD7B1CEC6}" srcId="{0DB8C7FB-376E-48B9-94C9-F550A2686B2A}" destId="{590A4DAA-2373-44FE-8EC8-6073CA1BE239}" srcOrd="0" destOrd="0" parTransId="{7553EB16-4BCD-41D0-BAC9-0FEE4F7A84EB}" sibTransId="{01B184F9-ED0E-483F-92FD-75E52667A7BA}"/>
    <dgm:cxn modelId="{E63015CE-0DDB-4FA6-8AAB-86FFDD111382}" type="presOf" srcId="{BA5D28EE-688C-4CAA-852D-2B9A5A1A04B7}" destId="{E4C19096-FB3B-4DCB-B128-D8D530E383E5}" srcOrd="1" destOrd="0" presId="urn:microsoft.com/office/officeart/2005/8/layout/cycle7"/>
    <dgm:cxn modelId="{803EFAB7-8B7F-4D82-8CDA-5AC2AB526221}" type="presOf" srcId="{F04F7DF7-1B41-4EF6-924E-55C1278D7785}" destId="{DD32B502-CFAF-4CD8-92E7-935DD964BE00}" srcOrd="0" destOrd="0" presId="urn:microsoft.com/office/officeart/2005/8/layout/cycle7"/>
    <dgm:cxn modelId="{F45F9F99-743C-4EBB-A2A0-CFDC355D8468}" type="presOf" srcId="{590A4DAA-2373-44FE-8EC8-6073CA1BE239}" destId="{88F8874D-AD50-4EC4-8DC9-9EF311AA4941}" srcOrd="0" destOrd="0" presId="urn:microsoft.com/office/officeart/2005/8/layout/cycle7"/>
    <dgm:cxn modelId="{BFFC8FBC-381A-4EF7-9F50-1CF2518B46C5}" type="presOf" srcId="{01B184F9-ED0E-483F-92FD-75E52667A7BA}" destId="{C0C299CB-B3BB-477D-88B2-72514A75CFA0}" srcOrd="1" destOrd="0" presId="urn:microsoft.com/office/officeart/2005/8/layout/cycle7"/>
    <dgm:cxn modelId="{85026450-69CA-48D5-BD14-600FCEA3C82F}" type="presOf" srcId="{E7472BB1-AB9D-47E0-AE6E-555AB6E0B59F}" destId="{55E40169-61B6-485A-88BD-E1CF8BD50E3A}" srcOrd="0" destOrd="0" presId="urn:microsoft.com/office/officeart/2005/8/layout/cycle7"/>
    <dgm:cxn modelId="{5EAE7CAA-45D5-4BC6-8309-1BA008BBB8CF}" type="presOf" srcId="{BA5D28EE-688C-4CAA-852D-2B9A5A1A04B7}" destId="{DEE1EEEC-98E0-4356-B673-C64587BDAB5C}" srcOrd="0" destOrd="0" presId="urn:microsoft.com/office/officeart/2005/8/layout/cycle7"/>
    <dgm:cxn modelId="{EDDE797F-6F66-47CC-B3F9-4AA85AA76118}" type="presOf" srcId="{01B184F9-ED0E-483F-92FD-75E52667A7BA}" destId="{E128E6B5-E639-4806-ACC8-FC5317B89308}" srcOrd="0" destOrd="0" presId="urn:microsoft.com/office/officeart/2005/8/layout/cycle7"/>
    <dgm:cxn modelId="{060444E5-6871-4ABD-B9D8-51421C06688C}" type="presParOf" srcId="{3EE94AF8-CBCE-4070-B6E6-C71A7550503F}" destId="{88F8874D-AD50-4EC4-8DC9-9EF311AA4941}" srcOrd="0" destOrd="0" presId="urn:microsoft.com/office/officeart/2005/8/layout/cycle7"/>
    <dgm:cxn modelId="{029D77A9-A483-4D6B-AF0E-AB6E6E04AAC4}" type="presParOf" srcId="{3EE94AF8-CBCE-4070-B6E6-C71A7550503F}" destId="{E128E6B5-E639-4806-ACC8-FC5317B89308}" srcOrd="1" destOrd="0" presId="urn:microsoft.com/office/officeart/2005/8/layout/cycle7"/>
    <dgm:cxn modelId="{EA2E1C02-E785-4A84-8119-75F46A14ED31}" type="presParOf" srcId="{E128E6B5-E639-4806-ACC8-FC5317B89308}" destId="{C0C299CB-B3BB-477D-88B2-72514A75CFA0}" srcOrd="0" destOrd="0" presId="urn:microsoft.com/office/officeart/2005/8/layout/cycle7"/>
    <dgm:cxn modelId="{BBE5481F-BD12-4679-AE76-5A840C23E9E7}" type="presParOf" srcId="{3EE94AF8-CBCE-4070-B6E6-C71A7550503F}" destId="{DD32B502-CFAF-4CD8-92E7-935DD964BE00}" srcOrd="2" destOrd="0" presId="urn:microsoft.com/office/officeart/2005/8/layout/cycle7"/>
    <dgm:cxn modelId="{4F995932-7CAD-4423-A0A5-942ADE7C9E80}" type="presParOf" srcId="{3EE94AF8-CBCE-4070-B6E6-C71A7550503F}" destId="{5466EC20-2D8A-4B68-B505-6B0D91BD3D32}" srcOrd="3" destOrd="0" presId="urn:microsoft.com/office/officeart/2005/8/layout/cycle7"/>
    <dgm:cxn modelId="{F754A634-085E-4A9D-81DC-30324F2F3DA8}" type="presParOf" srcId="{5466EC20-2D8A-4B68-B505-6B0D91BD3D32}" destId="{C4BFA4CC-E166-4ECC-B7CB-84BF993B30ED}" srcOrd="0" destOrd="0" presId="urn:microsoft.com/office/officeart/2005/8/layout/cycle7"/>
    <dgm:cxn modelId="{8C532E09-9081-4CEA-99C5-0BEE784088FC}" type="presParOf" srcId="{3EE94AF8-CBCE-4070-B6E6-C71A7550503F}" destId="{55E40169-61B6-485A-88BD-E1CF8BD50E3A}" srcOrd="4" destOrd="0" presId="urn:microsoft.com/office/officeart/2005/8/layout/cycle7"/>
    <dgm:cxn modelId="{789151AA-A081-48F7-992C-6C6C00635444}" type="presParOf" srcId="{3EE94AF8-CBCE-4070-B6E6-C71A7550503F}" destId="{DEE1EEEC-98E0-4356-B673-C64587BDAB5C}" srcOrd="5" destOrd="0" presId="urn:microsoft.com/office/officeart/2005/8/layout/cycle7"/>
    <dgm:cxn modelId="{73B9E85E-24E9-4CD5-877E-8A7669897658}" type="presParOf" srcId="{DEE1EEEC-98E0-4356-B673-C64587BDAB5C}" destId="{E4C19096-FB3B-4DCB-B128-D8D530E383E5}" srcOrd="0" destOrd="0" presId="urn:microsoft.com/office/officeart/2005/8/layout/cycle7"/>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F8874D-AD50-4EC4-8DC9-9EF311AA4941}">
      <dsp:nvSpPr>
        <dsp:cNvPr id="0" name=""/>
        <dsp:cNvSpPr/>
      </dsp:nvSpPr>
      <dsp:spPr>
        <a:xfrm>
          <a:off x="1610608" y="645"/>
          <a:ext cx="1322207" cy="66110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Environnement flexible</a:t>
          </a:r>
        </a:p>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POLYVALENCE</a:t>
          </a:r>
        </a:p>
      </dsp:txBody>
      <dsp:txXfrm>
        <a:off x="1629971" y="20008"/>
        <a:ext cx="1283481" cy="622377"/>
      </dsp:txXfrm>
    </dsp:sp>
    <dsp:sp modelId="{E128E6B5-E639-4806-ACC8-FC5317B89308}">
      <dsp:nvSpPr>
        <dsp:cNvPr id="0" name=""/>
        <dsp:cNvSpPr/>
      </dsp:nvSpPr>
      <dsp:spPr>
        <a:xfrm rot="3600000">
          <a:off x="2473185" y="1160656"/>
          <a:ext cx="688423" cy="231386"/>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solidFill>
              <a:sysClr val="window" lastClr="FFFFFF"/>
            </a:solidFill>
            <a:latin typeface="Calibri"/>
            <a:ea typeface="+mn-ea"/>
            <a:cs typeface="+mn-cs"/>
          </a:endParaRPr>
        </a:p>
      </dsp:txBody>
      <dsp:txXfrm>
        <a:off x="2542601" y="1206933"/>
        <a:ext cx="549591" cy="138832"/>
      </dsp:txXfrm>
    </dsp:sp>
    <dsp:sp modelId="{DD32B502-CFAF-4CD8-92E7-935DD964BE00}">
      <dsp:nvSpPr>
        <dsp:cNvPr id="0" name=""/>
        <dsp:cNvSpPr/>
      </dsp:nvSpPr>
      <dsp:spPr>
        <a:xfrm>
          <a:off x="2701976" y="1890950"/>
          <a:ext cx="1322207" cy="66110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Anticipation</a:t>
          </a:r>
          <a:r>
            <a:rPr lang="fr-FR" sz="900" kern="1200" baseline="0">
              <a:solidFill>
                <a:sysClr val="window" lastClr="FFFFFF"/>
              </a:solidFill>
              <a:latin typeface="Calibri"/>
              <a:ea typeface="+mn-ea"/>
              <a:cs typeface="+mn-cs"/>
            </a:rPr>
            <a:t> et conduite d'un changement de modèle d'apprentissage</a:t>
          </a:r>
        </a:p>
        <a:p>
          <a:pPr lvl="0" algn="ctr" defTabSz="400050">
            <a:lnSpc>
              <a:spcPct val="90000"/>
            </a:lnSpc>
            <a:spcBef>
              <a:spcPct val="0"/>
            </a:spcBef>
            <a:spcAft>
              <a:spcPct val="35000"/>
            </a:spcAft>
          </a:pPr>
          <a:r>
            <a:rPr lang="fr-FR" sz="900" kern="1200" baseline="0">
              <a:solidFill>
                <a:sysClr val="window" lastClr="FFFFFF"/>
              </a:solidFill>
              <a:latin typeface="Calibri"/>
              <a:ea typeface="+mn-ea"/>
              <a:cs typeface="+mn-cs"/>
            </a:rPr>
            <a:t>PEDAGOGIE</a:t>
          </a:r>
          <a:endParaRPr lang="fr-FR" sz="900" kern="1200">
            <a:solidFill>
              <a:sysClr val="window" lastClr="FFFFFF"/>
            </a:solidFill>
            <a:latin typeface="Calibri"/>
            <a:ea typeface="+mn-ea"/>
            <a:cs typeface="+mn-cs"/>
          </a:endParaRPr>
        </a:p>
      </dsp:txBody>
      <dsp:txXfrm>
        <a:off x="2721339" y="1910313"/>
        <a:ext cx="1283481" cy="622377"/>
      </dsp:txXfrm>
    </dsp:sp>
    <dsp:sp modelId="{5466EC20-2D8A-4B68-B505-6B0D91BD3D32}">
      <dsp:nvSpPr>
        <dsp:cNvPr id="0" name=""/>
        <dsp:cNvSpPr/>
      </dsp:nvSpPr>
      <dsp:spPr>
        <a:xfrm rot="10800000">
          <a:off x="1927500" y="2105809"/>
          <a:ext cx="688423" cy="231386"/>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solidFill>
              <a:sysClr val="window" lastClr="FFFFFF"/>
            </a:solidFill>
            <a:latin typeface="Calibri"/>
            <a:ea typeface="+mn-ea"/>
            <a:cs typeface="+mn-cs"/>
          </a:endParaRPr>
        </a:p>
      </dsp:txBody>
      <dsp:txXfrm rot="10800000">
        <a:off x="1996916" y="2152086"/>
        <a:ext cx="549591" cy="138832"/>
      </dsp:txXfrm>
    </dsp:sp>
    <dsp:sp modelId="{55E40169-61B6-485A-88BD-E1CF8BD50E3A}">
      <dsp:nvSpPr>
        <dsp:cNvPr id="0" name=""/>
        <dsp:cNvSpPr/>
      </dsp:nvSpPr>
      <dsp:spPr>
        <a:xfrm>
          <a:off x="519240" y="1890950"/>
          <a:ext cx="1322207" cy="66110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Intégration de ressources, expertises et services</a:t>
          </a:r>
        </a:p>
        <a:p>
          <a:pPr lvl="0" algn="ctr" defTabSz="400050">
            <a:lnSpc>
              <a:spcPct val="90000"/>
            </a:lnSpc>
            <a:spcBef>
              <a:spcPct val="0"/>
            </a:spcBef>
            <a:spcAft>
              <a:spcPct val="35000"/>
            </a:spcAft>
          </a:pPr>
          <a:r>
            <a:rPr lang="fr-FR" sz="900" kern="1200">
              <a:solidFill>
                <a:sysClr val="window" lastClr="FFFFFF"/>
              </a:solidFill>
              <a:latin typeface="Calibri"/>
              <a:ea typeface="+mn-ea"/>
              <a:cs typeface="+mn-cs"/>
            </a:rPr>
            <a:t>GUICHET UNIQUE</a:t>
          </a:r>
        </a:p>
      </dsp:txBody>
      <dsp:txXfrm>
        <a:off x="538603" y="1910313"/>
        <a:ext cx="1283481" cy="622377"/>
      </dsp:txXfrm>
    </dsp:sp>
    <dsp:sp modelId="{DEE1EEEC-98E0-4356-B673-C64587BDAB5C}">
      <dsp:nvSpPr>
        <dsp:cNvPr id="0" name=""/>
        <dsp:cNvSpPr/>
      </dsp:nvSpPr>
      <dsp:spPr>
        <a:xfrm rot="18000000">
          <a:off x="1381816" y="1160656"/>
          <a:ext cx="688423" cy="231386"/>
        </a:xfrm>
        <a:prstGeom prst="lef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fr-FR" sz="700" kern="1200">
            <a:solidFill>
              <a:sysClr val="window" lastClr="FFFFFF"/>
            </a:solidFill>
            <a:latin typeface="Calibri"/>
            <a:ea typeface="+mn-ea"/>
            <a:cs typeface="+mn-cs"/>
          </a:endParaRPr>
        </a:p>
      </dsp:txBody>
      <dsp:txXfrm>
        <a:off x="1451232" y="1206933"/>
        <a:ext cx="549591" cy="138832"/>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4C61-8341-495D-8EBF-EB18D7F0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7379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Université de Haute Alsace</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meyer-bolzinger</dc:creator>
  <cp:lastModifiedBy>Anne Boraud</cp:lastModifiedBy>
  <cp:revision>2</cp:revision>
  <cp:lastPrinted>2015-12-14T13:50:00Z</cp:lastPrinted>
  <dcterms:created xsi:type="dcterms:W3CDTF">2015-12-18T07:48:00Z</dcterms:created>
  <dcterms:modified xsi:type="dcterms:W3CDTF">2015-12-18T07:48:00Z</dcterms:modified>
</cp:coreProperties>
</file>